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0ABAB" w14:textId="77777777" w:rsidR="005A65CE" w:rsidRPr="00975C75" w:rsidRDefault="00D7319A">
      <w:pPr>
        <w:spacing w:after="60"/>
        <w:rPr>
          <w:rFonts w:ascii="Montserrat" w:hAnsi="Montserrat"/>
          <w:color w:val="007DA5" w:themeColor="accent2"/>
          <w:sz w:val="28"/>
          <w:szCs w:val="32"/>
        </w:rPr>
      </w:pPr>
      <w:r w:rsidRPr="00975C75">
        <w:rPr>
          <w:rFonts w:ascii="Montserrat" w:hAnsi="Montserrat"/>
          <w:b/>
          <w:color w:val="007DA5" w:themeColor="accent2"/>
          <w:sz w:val="28"/>
          <w:szCs w:val="32"/>
        </w:rPr>
        <w:t>SHORT BREAKS GRANT 2026</w:t>
      </w:r>
    </w:p>
    <w:p w14:paraId="0BA67273" w14:textId="77777777" w:rsidR="005A65CE" w:rsidRPr="00975C75" w:rsidRDefault="00D7319A">
      <w:pPr>
        <w:spacing w:after="80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b/>
          <w:color w:val="007DA5" w:themeColor="accent2"/>
          <w:sz w:val="48"/>
        </w:rPr>
        <w:t>Application guidance</w:t>
      </w:r>
    </w:p>
    <w:p w14:paraId="0B816984" w14:textId="77777777" w:rsidR="005A65CE" w:rsidRPr="009B1A15" w:rsidRDefault="00D7319A">
      <w:pPr>
        <w:spacing w:after="280"/>
        <w:rPr>
          <w:rFonts w:ascii="Montserrat" w:hAnsi="Montserrat"/>
        </w:rPr>
      </w:pPr>
      <w:r w:rsidRPr="009B1A15">
        <w:rPr>
          <w:rFonts w:ascii="Montserrat" w:hAnsi="Montserrat"/>
          <w:color w:val="5B6573"/>
          <w:sz w:val="24"/>
        </w:rPr>
        <w:t>A step-by-step guide for Third Sector organisations applying to support unpaid carers across Cardiff and the Vale of Glamorgan</w:t>
      </w:r>
    </w:p>
    <w:tbl>
      <w:tblPr>
        <w:tblStyle w:val="TableGrid"/>
        <w:tblW w:w="9360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5A65CE" w:rsidRPr="009B1A15" w14:paraId="3377602F" w14:textId="77777777">
        <w:tc>
          <w:tcPr>
            <w:tcW w:w="9360" w:type="dxa"/>
            <w:shd w:val="clear" w:color="auto" w:fill="E8EE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EB9A838" w14:textId="63DBDD4B" w:rsidR="005A65CE" w:rsidRPr="009B1A15" w:rsidRDefault="00D7319A">
            <w:pPr>
              <w:spacing w:after="0"/>
              <w:rPr>
                <w:rFonts w:ascii="Montserrat" w:hAnsi="Montserrat"/>
              </w:rPr>
            </w:pPr>
            <w:r w:rsidRPr="00975C75">
              <w:rPr>
                <w:rFonts w:ascii="Montserrat" w:hAnsi="Montserrat"/>
                <w:b/>
                <w:color w:val="007DA5" w:themeColor="accent2"/>
              </w:rPr>
              <w:t xml:space="preserve">Purpose of this guidance </w:t>
            </w:r>
            <w:r w:rsidRPr="009B1A15">
              <w:rPr>
                <w:rFonts w:ascii="Montserrat" w:hAnsi="Montserrat"/>
              </w:rPr>
              <w:t>Use this guide alongside the application form. It explains what to prepare, what each section should cover and the checks to complete before submission.</w:t>
            </w:r>
          </w:p>
        </w:tc>
      </w:tr>
    </w:tbl>
    <w:p w14:paraId="678429D7" w14:textId="77777777" w:rsidR="005A65CE" w:rsidRPr="00975C75" w:rsidRDefault="00D7319A">
      <w:pPr>
        <w:pStyle w:val="Heading1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>Application process</w:t>
      </w:r>
    </w:p>
    <w:p w14:paraId="5445F97E" w14:textId="3513BE8A" w:rsidR="005A65CE" w:rsidRPr="00975C75" w:rsidRDefault="00D7319A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>Check that your proposal fits</w:t>
      </w:r>
    </w:p>
    <w:p w14:paraId="1B812F31" w14:textId="77777777" w:rsidR="005A65CE" w:rsidRPr="009B1A15" w:rsidRDefault="00D7319A">
      <w:pPr>
        <w:keepNext/>
        <w:rPr>
          <w:rFonts w:ascii="Montserrat" w:hAnsi="Montserrat"/>
        </w:rPr>
      </w:pPr>
      <w:r w:rsidRPr="009B1A15">
        <w:rPr>
          <w:rFonts w:ascii="Montserrat" w:hAnsi="Montserrat"/>
        </w:rPr>
        <w:t>Before drafting, confirm that your proposal is clearly focused on unpaid carers and meets the programme purpose.</w:t>
      </w:r>
    </w:p>
    <w:p w14:paraId="45FC2B2A" w14:textId="5F90408A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Identify the unpaid carers you intend to support, including their age group, community, location and caring circumstances</w:t>
      </w:r>
      <w:r w:rsidR="001E33AC" w:rsidRPr="009B1A15">
        <w:rPr>
          <w:rFonts w:ascii="Montserrat" w:hAnsi="Montserrat"/>
        </w:rPr>
        <w:t xml:space="preserve"> (if relevant, E.G. dementia carers group)</w:t>
      </w:r>
      <w:r w:rsidRPr="009B1A15">
        <w:rPr>
          <w:rFonts w:ascii="Montserrat" w:hAnsi="Montserrat"/>
        </w:rPr>
        <w:t>.</w:t>
      </w:r>
    </w:p>
    <w:p w14:paraId="7610C538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Explain the need for a break and why the proposed approach is suitable for that group.</w:t>
      </w:r>
    </w:p>
    <w:p w14:paraId="7C6AE2D0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Show how the proposal will benefit carers in Cardiff, the Vale of Glamorgan, or both areas.</w:t>
      </w:r>
    </w:p>
    <w:p w14:paraId="6D726C23" w14:textId="77777777" w:rsidR="009B1A15" w:rsidRDefault="009B1A15" w:rsidP="00CD26E4">
      <w:pPr>
        <w:pStyle w:val="ListBullet"/>
        <w:numPr>
          <w:ilvl w:val="0"/>
          <w:numId w:val="0"/>
        </w:numPr>
        <w:ind w:left="540" w:hanging="271"/>
        <w:rPr>
          <w:rFonts w:ascii="Montserrat" w:hAnsi="Montserrat"/>
          <w:b/>
          <w:bCs/>
          <w:color w:val="007DA5" w:themeColor="accent2"/>
          <w:sz w:val="26"/>
          <w:szCs w:val="26"/>
        </w:rPr>
      </w:pPr>
    </w:p>
    <w:p w14:paraId="18B8C696" w14:textId="634BC932" w:rsidR="00CD26E4" w:rsidRPr="00975C75" w:rsidRDefault="009B1A15" w:rsidP="009B1A15">
      <w:pPr>
        <w:pStyle w:val="ListBullet"/>
        <w:numPr>
          <w:ilvl w:val="0"/>
          <w:numId w:val="0"/>
        </w:numPr>
        <w:ind w:left="271" w:hanging="271"/>
        <w:rPr>
          <w:rFonts w:ascii="Montserrat" w:hAnsi="Montserrat"/>
          <w:b/>
          <w:bCs/>
          <w:color w:val="007DA5" w:themeColor="accent2"/>
          <w:sz w:val="26"/>
          <w:szCs w:val="26"/>
        </w:rPr>
      </w:pPr>
      <w:r w:rsidRPr="00975C75">
        <w:rPr>
          <w:rFonts w:ascii="Montserrat" w:hAnsi="Montserrat"/>
          <w:b/>
          <w:bCs/>
          <w:color w:val="007DA5" w:themeColor="accent2"/>
          <w:sz w:val="26"/>
          <w:szCs w:val="26"/>
        </w:rPr>
        <w:t>Section 1</w:t>
      </w:r>
    </w:p>
    <w:p w14:paraId="4A58FB39" w14:textId="41DB6BA7" w:rsidR="00CD26E4" w:rsidRPr="00975C75" w:rsidRDefault="00D7319A" w:rsidP="00CD26E4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</w:t>
      </w:r>
      <w:r w:rsidR="00CD26E4" w:rsidRPr="00975C75">
        <w:rPr>
          <w:rFonts w:ascii="Montserrat" w:hAnsi="Montserrat"/>
          <w:color w:val="007DA5" w:themeColor="accent2"/>
        </w:rPr>
        <w:t>1</w:t>
      </w:r>
      <w:r w:rsidRPr="00975C75">
        <w:rPr>
          <w:rFonts w:ascii="Montserrat" w:hAnsi="Montserrat"/>
          <w:color w:val="007DA5" w:themeColor="accent2"/>
        </w:rPr>
        <w:t xml:space="preserve"> — </w:t>
      </w:r>
      <w:r w:rsidR="00CD26E4" w:rsidRPr="00975C75">
        <w:rPr>
          <w:rFonts w:ascii="Montserrat" w:hAnsi="Montserrat"/>
          <w:color w:val="007DA5" w:themeColor="accent2"/>
        </w:rPr>
        <w:t>Organisational details</w:t>
      </w:r>
      <w:r w:rsidR="009B1A15" w:rsidRPr="00975C75">
        <w:rPr>
          <w:rFonts w:ascii="Montserrat" w:hAnsi="Montserrat"/>
          <w:color w:val="007DA5" w:themeColor="accent2"/>
        </w:rPr>
        <w:t xml:space="preserve"> </w:t>
      </w:r>
    </w:p>
    <w:p w14:paraId="5ADC9999" w14:textId="604E5849" w:rsidR="00CD26E4" w:rsidRPr="009B1A15" w:rsidRDefault="00CD26E4" w:rsidP="00CD26E4">
      <w:pPr>
        <w:pStyle w:val="Heading2"/>
        <w:rPr>
          <w:rFonts w:ascii="Montserrat" w:hAnsi="Montserrat"/>
          <w:b w:val="0"/>
          <w:bCs w:val="0"/>
          <w:color w:val="auto"/>
          <w:sz w:val="21"/>
          <w:szCs w:val="21"/>
        </w:rPr>
      </w:pPr>
      <w:r w:rsidRPr="009B1A15">
        <w:rPr>
          <w:rFonts w:ascii="Montserrat" w:hAnsi="Montserrat"/>
          <w:b w:val="0"/>
          <w:bCs w:val="0"/>
          <w:color w:val="auto"/>
          <w:sz w:val="21"/>
          <w:szCs w:val="21"/>
        </w:rPr>
        <w:t>Please provide organisation name, registered address, key contact name, role and email and telephone. Charity number</w:t>
      </w:r>
      <w:r w:rsidR="009B1A15" w:rsidRPr="009B1A15">
        <w:rPr>
          <w:rFonts w:ascii="Montserrat" w:hAnsi="Montserrat"/>
          <w:b w:val="0"/>
          <w:bCs w:val="0"/>
          <w:color w:val="auto"/>
          <w:sz w:val="21"/>
          <w:szCs w:val="21"/>
        </w:rPr>
        <w:t xml:space="preserve">, any partners information if you are submitting alongside another organisation and the area of benefit to unpaid carers. </w:t>
      </w:r>
    </w:p>
    <w:p w14:paraId="2B8C2DF0" w14:textId="389DCBBA" w:rsidR="005A65CE" w:rsidRPr="00975C75" w:rsidRDefault="00CD26E4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>Step 2 — Choose the most suitable grant category</w:t>
      </w:r>
    </w:p>
    <w:p w14:paraId="3BCB2B13" w14:textId="08B0DDF8" w:rsidR="005A65CE" w:rsidRPr="009B1A15" w:rsidRDefault="00D7319A">
      <w:pPr>
        <w:keepNext/>
        <w:rPr>
          <w:rFonts w:ascii="Montserrat" w:hAnsi="Montserrat"/>
        </w:rPr>
      </w:pPr>
      <w:r w:rsidRPr="009B1A15">
        <w:rPr>
          <w:rFonts w:ascii="Montserrat" w:hAnsi="Montserrat"/>
        </w:rPr>
        <w:t>Select one category in the application form and make sure the scale, duration and funding request match it</w:t>
      </w:r>
      <w:r w:rsidR="008414C6">
        <w:rPr>
          <w:rFonts w:ascii="Montserrat" w:hAnsi="Montserrat"/>
        </w:rPr>
        <w:t xml:space="preserve"> </w:t>
      </w:r>
      <w:r w:rsidR="008414C6" w:rsidRPr="008414C6">
        <w:rPr>
          <w:rFonts w:ascii="Montserrat" w:hAnsi="Montserrat"/>
          <w:b/>
          <w:bCs/>
        </w:rPr>
        <w:t>(please note the funding needs to be spent by the 31.03.2027)</w:t>
      </w:r>
      <w:r w:rsidRPr="009B1A15">
        <w:rPr>
          <w:rFonts w:ascii="Montserrat" w:hAnsi="Montserrat"/>
        </w:rPr>
        <w:t>:</w:t>
      </w:r>
    </w:p>
    <w:p w14:paraId="7C405E67" w14:textId="10FECCC0" w:rsidR="005A65CE" w:rsidRDefault="00D7319A">
      <w:pPr>
        <w:pStyle w:val="ListBullet"/>
        <w:rPr>
          <w:rFonts w:ascii="Montserrat" w:hAnsi="Montserrat"/>
        </w:rPr>
      </w:pPr>
      <w:r w:rsidRPr="008414C6">
        <w:rPr>
          <w:rFonts w:ascii="Montserrat" w:hAnsi="Montserrat"/>
        </w:rPr>
        <w:t>£500–£1,</w:t>
      </w:r>
      <w:r w:rsidR="008414C6" w:rsidRPr="008414C6">
        <w:rPr>
          <w:rFonts w:ascii="Montserrat" w:hAnsi="Montserrat"/>
        </w:rPr>
        <w:t>5</w:t>
      </w:r>
      <w:r w:rsidRPr="008414C6">
        <w:rPr>
          <w:rFonts w:ascii="Montserrat" w:hAnsi="Montserrat"/>
        </w:rPr>
        <w:t>00 for small, established groups providing meals or activities.</w:t>
      </w:r>
    </w:p>
    <w:p w14:paraId="5705B0AE" w14:textId="35E2EA3F" w:rsidR="00A26D23" w:rsidRPr="007E0F66" w:rsidRDefault="007E0F66">
      <w:pPr>
        <w:pStyle w:val="ListBullet"/>
        <w:rPr>
          <w:rFonts w:ascii="Montserrat" w:hAnsi="Montserrat"/>
          <w:szCs w:val="21"/>
        </w:rPr>
      </w:pPr>
      <w:r>
        <w:rPr>
          <w:rFonts w:ascii="Montserrat" w:hAnsi="Montserrat" w:cs="Arial"/>
          <w:szCs w:val="21"/>
        </w:rPr>
        <w:t>U</w:t>
      </w:r>
      <w:r w:rsidRPr="007E0F66">
        <w:rPr>
          <w:rFonts w:ascii="Montserrat" w:hAnsi="Montserrat" w:cs="Arial"/>
          <w:szCs w:val="21"/>
        </w:rPr>
        <w:t>p to £5000</w:t>
      </w:r>
      <w:r>
        <w:rPr>
          <w:rFonts w:ascii="Montserrat" w:hAnsi="Montserrat" w:cs="Arial"/>
          <w:szCs w:val="21"/>
        </w:rPr>
        <w:t xml:space="preserve"> </w:t>
      </w:r>
      <w:r w:rsidR="00A26D23" w:rsidRPr="007E0F66">
        <w:rPr>
          <w:rFonts w:ascii="Montserrat" w:hAnsi="Montserrat" w:cs="Arial"/>
          <w:szCs w:val="21"/>
        </w:rPr>
        <w:t>Small grants for establishing new groups/projects which directly support unpaid carers.</w:t>
      </w:r>
    </w:p>
    <w:p w14:paraId="4C7281D7" w14:textId="5580217B" w:rsidR="005A65CE" w:rsidRPr="008414C6" w:rsidRDefault="00D7319A">
      <w:pPr>
        <w:pStyle w:val="ListBullet"/>
        <w:rPr>
          <w:rFonts w:ascii="Montserrat" w:hAnsi="Montserrat"/>
        </w:rPr>
      </w:pPr>
      <w:r w:rsidRPr="008414C6">
        <w:rPr>
          <w:rFonts w:ascii="Montserrat" w:hAnsi="Montserrat"/>
        </w:rPr>
        <w:t>Up to £</w:t>
      </w:r>
      <w:r w:rsidR="008A44E8" w:rsidRPr="008414C6">
        <w:rPr>
          <w:rFonts w:ascii="Montserrat" w:hAnsi="Montserrat"/>
        </w:rPr>
        <w:t>10,000</w:t>
      </w:r>
      <w:r w:rsidRPr="008414C6">
        <w:rPr>
          <w:rFonts w:ascii="Montserrat" w:hAnsi="Montserrat"/>
        </w:rPr>
        <w:t xml:space="preserve"> for larger groups delivering </w:t>
      </w:r>
      <w:r w:rsidR="00DD3790" w:rsidRPr="008414C6">
        <w:rPr>
          <w:rFonts w:ascii="Montserrat" w:hAnsi="Montserrat"/>
        </w:rPr>
        <w:t>short breaks for unpaid carers.</w:t>
      </w:r>
    </w:p>
    <w:p w14:paraId="062DDD0D" w14:textId="77777777" w:rsidR="009B1A15" w:rsidRDefault="009B1A15" w:rsidP="009B1A15">
      <w:pPr>
        <w:pStyle w:val="ListBullet"/>
        <w:numPr>
          <w:ilvl w:val="0"/>
          <w:numId w:val="0"/>
        </w:numPr>
        <w:ind w:left="540" w:hanging="271"/>
        <w:rPr>
          <w:rFonts w:ascii="Montserrat" w:hAnsi="Montserrat"/>
        </w:rPr>
      </w:pPr>
    </w:p>
    <w:p w14:paraId="6D39330A" w14:textId="2450ACB6" w:rsidR="009B1A15" w:rsidRPr="00975C75" w:rsidRDefault="009B1A15" w:rsidP="009B1A15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lastRenderedPageBreak/>
        <w:t>Step 3 — Funding request</w:t>
      </w:r>
    </w:p>
    <w:p w14:paraId="3652DC66" w14:textId="06BE6CE6" w:rsidR="009B1A15" w:rsidRPr="009B1A15" w:rsidRDefault="009B1A15" w:rsidP="009B1A15">
      <w:pPr>
        <w:pStyle w:val="ListBullet"/>
        <w:numPr>
          <w:ilvl w:val="0"/>
          <w:numId w:val="0"/>
        </w:numPr>
        <w:rPr>
          <w:rFonts w:ascii="Montserrat" w:hAnsi="Montserrat"/>
        </w:rPr>
      </w:pPr>
      <w:r>
        <w:rPr>
          <w:rFonts w:ascii="Montserrat" w:hAnsi="Montserrat"/>
        </w:rPr>
        <w:t>Funding amount requested</w:t>
      </w:r>
    </w:p>
    <w:p w14:paraId="78491672" w14:textId="4A8FCC33" w:rsidR="005A65CE" w:rsidRPr="00975C75" w:rsidRDefault="00D7319A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</w:t>
      </w:r>
      <w:r w:rsidR="002D69A1" w:rsidRPr="00975C75">
        <w:rPr>
          <w:rFonts w:ascii="Montserrat" w:hAnsi="Montserrat"/>
          <w:color w:val="007DA5" w:themeColor="accent2"/>
        </w:rPr>
        <w:t xml:space="preserve">4 </w:t>
      </w:r>
      <w:r w:rsidRPr="00975C75">
        <w:rPr>
          <w:rFonts w:ascii="Montserrat" w:hAnsi="Montserrat"/>
          <w:color w:val="007DA5" w:themeColor="accent2"/>
        </w:rPr>
        <w:t>— Design the short break offer</w:t>
      </w:r>
    </w:p>
    <w:p w14:paraId="2FD1FC82" w14:textId="19B815AA" w:rsidR="002D69A1" w:rsidRDefault="00D7319A" w:rsidP="002D69A1">
      <w:pPr>
        <w:keepNext/>
        <w:rPr>
          <w:rFonts w:ascii="Montserrat" w:hAnsi="Montserrat"/>
        </w:rPr>
      </w:pPr>
      <w:r w:rsidRPr="009B1A15">
        <w:rPr>
          <w:rFonts w:ascii="Montserrat" w:hAnsi="Montserrat"/>
        </w:rPr>
        <w:t xml:space="preserve">Select every relevant type of break in the form: </w:t>
      </w:r>
    </w:p>
    <w:p w14:paraId="0E523B25" w14:textId="77777777" w:rsidR="002D69A1" w:rsidRDefault="002D69A1">
      <w:pPr>
        <w:pStyle w:val="ListBullet"/>
        <w:rPr>
          <w:rFonts w:ascii="Montserrat" w:hAnsi="Montserrat"/>
        </w:rPr>
      </w:pPr>
      <w:r>
        <w:rPr>
          <w:rFonts w:ascii="Montserrat" w:hAnsi="Montserrat"/>
        </w:rPr>
        <w:t>O</w:t>
      </w:r>
      <w:r w:rsidRPr="009B1A15">
        <w:rPr>
          <w:rFonts w:ascii="Montserrat" w:hAnsi="Montserrat"/>
        </w:rPr>
        <w:t xml:space="preserve">vernight breaks, </w:t>
      </w:r>
    </w:p>
    <w:p w14:paraId="648A64F3" w14:textId="77777777" w:rsidR="002D69A1" w:rsidRDefault="002D69A1">
      <w:pPr>
        <w:pStyle w:val="ListBullet"/>
        <w:rPr>
          <w:rFonts w:ascii="Montserrat" w:hAnsi="Montserrat"/>
        </w:rPr>
      </w:pPr>
      <w:r>
        <w:rPr>
          <w:rFonts w:ascii="Montserrat" w:hAnsi="Montserrat"/>
        </w:rPr>
        <w:t>D</w:t>
      </w:r>
      <w:r w:rsidRPr="009B1A15">
        <w:rPr>
          <w:rFonts w:ascii="Montserrat" w:hAnsi="Montserrat"/>
        </w:rPr>
        <w:t xml:space="preserve">ay activities, </w:t>
      </w:r>
    </w:p>
    <w:p w14:paraId="3D15A3B8" w14:textId="77777777" w:rsidR="002D69A1" w:rsidRDefault="002D69A1">
      <w:pPr>
        <w:pStyle w:val="ListBullet"/>
        <w:rPr>
          <w:rFonts w:ascii="Montserrat" w:hAnsi="Montserrat"/>
        </w:rPr>
      </w:pPr>
      <w:r>
        <w:rPr>
          <w:rFonts w:ascii="Montserrat" w:hAnsi="Montserrat"/>
        </w:rPr>
        <w:t>M</w:t>
      </w:r>
      <w:r w:rsidRPr="009B1A15">
        <w:rPr>
          <w:rFonts w:ascii="Montserrat" w:hAnsi="Montserrat"/>
        </w:rPr>
        <w:t xml:space="preserve">icrogrants of £50 or under, </w:t>
      </w:r>
    </w:p>
    <w:p w14:paraId="34662439" w14:textId="02BF9E71" w:rsidR="002D69A1" w:rsidRDefault="002D69A1">
      <w:pPr>
        <w:pStyle w:val="ListBullet"/>
        <w:rPr>
          <w:rFonts w:ascii="Montserrat" w:hAnsi="Montserrat"/>
        </w:rPr>
      </w:pPr>
      <w:r>
        <w:rPr>
          <w:rFonts w:ascii="Montserrat" w:hAnsi="Montserrat"/>
        </w:rPr>
        <w:t>I</w:t>
      </w:r>
      <w:r w:rsidRPr="009B1A15">
        <w:rPr>
          <w:rFonts w:ascii="Montserrat" w:hAnsi="Montserrat"/>
        </w:rPr>
        <w:t xml:space="preserve">ndividual grants over £50, </w:t>
      </w:r>
    </w:p>
    <w:p w14:paraId="3CE1A55F" w14:textId="08431C00" w:rsidR="005A65CE" w:rsidRDefault="002D69A1">
      <w:pPr>
        <w:pStyle w:val="ListBullet"/>
        <w:rPr>
          <w:rFonts w:ascii="Montserrat" w:hAnsi="Montserrat"/>
        </w:rPr>
      </w:pPr>
      <w:r>
        <w:rPr>
          <w:rFonts w:ascii="Montserrat" w:hAnsi="Montserrat"/>
        </w:rPr>
        <w:t>G</w:t>
      </w:r>
      <w:r w:rsidRPr="009B1A15">
        <w:rPr>
          <w:rFonts w:ascii="Montserrat" w:hAnsi="Montserrat"/>
        </w:rPr>
        <w:t>roup activities, or another type.</w:t>
      </w:r>
    </w:p>
    <w:p w14:paraId="6730BDE2" w14:textId="77777777" w:rsidR="002D69A1" w:rsidRDefault="002D69A1" w:rsidP="002D69A1">
      <w:pPr>
        <w:pStyle w:val="ListBullet"/>
        <w:numPr>
          <w:ilvl w:val="0"/>
          <w:numId w:val="0"/>
        </w:numPr>
        <w:ind w:left="269"/>
        <w:rPr>
          <w:rFonts w:ascii="Montserrat" w:hAnsi="Montserrat"/>
        </w:rPr>
      </w:pPr>
    </w:p>
    <w:p w14:paraId="72A45B3B" w14:textId="2A3EC7E4" w:rsidR="002D69A1" w:rsidRPr="00975C75" w:rsidRDefault="002D69A1" w:rsidP="002D69A1">
      <w:pPr>
        <w:pStyle w:val="ListBullet"/>
        <w:numPr>
          <w:ilvl w:val="0"/>
          <w:numId w:val="0"/>
        </w:numPr>
        <w:jc w:val="both"/>
        <w:rPr>
          <w:rFonts w:ascii="Montserrat" w:hAnsi="Montserrat"/>
          <w:b/>
          <w:bCs/>
          <w:color w:val="007DA5" w:themeColor="accent2"/>
          <w:sz w:val="26"/>
          <w:szCs w:val="26"/>
        </w:rPr>
      </w:pPr>
      <w:r w:rsidRPr="00975C75">
        <w:rPr>
          <w:rFonts w:ascii="Montserrat" w:hAnsi="Montserrat"/>
          <w:b/>
          <w:bCs/>
          <w:color w:val="007DA5" w:themeColor="accent2"/>
          <w:sz w:val="26"/>
          <w:szCs w:val="26"/>
        </w:rPr>
        <w:t>Section 2</w:t>
      </w:r>
    </w:p>
    <w:p w14:paraId="5839411B" w14:textId="0FD62DF8" w:rsidR="005A65CE" w:rsidRPr="00975C75" w:rsidRDefault="00D7319A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</w:t>
      </w:r>
      <w:r w:rsidR="002D69A1" w:rsidRPr="00975C75">
        <w:rPr>
          <w:rFonts w:ascii="Montserrat" w:hAnsi="Montserrat"/>
          <w:color w:val="007DA5" w:themeColor="accent2"/>
        </w:rPr>
        <w:t>5</w:t>
      </w:r>
      <w:r w:rsidRPr="00975C75">
        <w:rPr>
          <w:rFonts w:ascii="Montserrat" w:hAnsi="Montserrat"/>
          <w:color w:val="007DA5" w:themeColor="accent2"/>
        </w:rPr>
        <w:t xml:space="preserve"> — Complete the project summary</w:t>
      </w:r>
      <w:r w:rsidR="0066429C" w:rsidRPr="00975C75">
        <w:rPr>
          <w:rFonts w:ascii="Montserrat" w:hAnsi="Montserrat"/>
          <w:color w:val="007DA5" w:themeColor="accent2"/>
        </w:rPr>
        <w:t xml:space="preserve"> (400 words)</w:t>
      </w:r>
    </w:p>
    <w:p w14:paraId="27838F3D" w14:textId="77777777" w:rsidR="005A65CE" w:rsidRPr="009B1A15" w:rsidRDefault="00D7319A">
      <w:pPr>
        <w:keepNext/>
        <w:rPr>
          <w:rFonts w:ascii="Montserrat" w:hAnsi="Montserrat"/>
        </w:rPr>
      </w:pPr>
      <w:r w:rsidRPr="009B1A15">
        <w:rPr>
          <w:rFonts w:ascii="Montserrat" w:hAnsi="Montserrat"/>
        </w:rPr>
        <w:t xml:space="preserve">Use the </w:t>
      </w:r>
      <w:r w:rsidRPr="002D69A1">
        <w:rPr>
          <w:rFonts w:ascii="Montserrat" w:hAnsi="Montserrat"/>
          <w:b/>
          <w:bCs/>
        </w:rPr>
        <w:t>400-word</w:t>
      </w:r>
      <w:r w:rsidRPr="009B1A15">
        <w:rPr>
          <w:rFonts w:ascii="Montserrat" w:hAnsi="Montserrat"/>
        </w:rPr>
        <w:t xml:space="preserve"> project summary to give assessors a clear overview of the full proposal.</w:t>
      </w:r>
    </w:p>
    <w:p w14:paraId="7D1AD63F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Name the target group and explain why you are prioritising them.</w:t>
      </w:r>
    </w:p>
    <w:p w14:paraId="099A2CD8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Set out the types of breaks carers will experience.</w:t>
      </w:r>
    </w:p>
    <w:p w14:paraId="7AB71AFB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State where delivery will take place and the geographical area of benefit.</w:t>
      </w:r>
    </w:p>
    <w:p w14:paraId="5D92F815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Include realistic estimates for the number of breaks and carers supported.</w:t>
      </w:r>
    </w:p>
    <w:p w14:paraId="6A4422DB" w14:textId="1541A59E" w:rsidR="005A65CE" w:rsidRPr="00975C75" w:rsidRDefault="00D7319A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</w:t>
      </w:r>
      <w:r w:rsidR="002D69A1" w:rsidRPr="00975C75">
        <w:rPr>
          <w:rFonts w:ascii="Montserrat" w:hAnsi="Montserrat"/>
          <w:color w:val="007DA5" w:themeColor="accent2"/>
        </w:rPr>
        <w:t>6</w:t>
      </w:r>
      <w:r w:rsidRPr="00975C75">
        <w:rPr>
          <w:rFonts w:ascii="Montserrat" w:hAnsi="Montserrat"/>
          <w:color w:val="007DA5" w:themeColor="accent2"/>
        </w:rPr>
        <w:t xml:space="preserve"> — Explain delivery, partnerships and award controls</w:t>
      </w:r>
      <w:r w:rsidR="002D69A1" w:rsidRPr="00975C75">
        <w:rPr>
          <w:rFonts w:ascii="Montserrat" w:hAnsi="Montserrat"/>
          <w:color w:val="007DA5" w:themeColor="accent2"/>
        </w:rPr>
        <w:t xml:space="preserve"> (If applicable)</w:t>
      </w:r>
      <w:r w:rsidR="0066429C" w:rsidRPr="00975C75">
        <w:rPr>
          <w:rFonts w:ascii="Montserrat" w:hAnsi="Montserrat"/>
          <w:color w:val="007DA5" w:themeColor="accent2"/>
        </w:rPr>
        <w:t xml:space="preserve"> (300 words)</w:t>
      </w:r>
    </w:p>
    <w:p w14:paraId="52FA149B" w14:textId="77777777" w:rsidR="005A65CE" w:rsidRPr="009B1A15" w:rsidRDefault="00D7319A">
      <w:pPr>
        <w:keepNext/>
        <w:rPr>
          <w:rFonts w:ascii="Montserrat" w:hAnsi="Montserrat"/>
        </w:rPr>
      </w:pPr>
      <w:r w:rsidRPr="009B1A15">
        <w:rPr>
          <w:rFonts w:ascii="Montserrat" w:hAnsi="Montserrat"/>
        </w:rPr>
        <w:t>Show that the project can be delivered safely, consistently and with clear accountability.</w:t>
      </w:r>
    </w:p>
    <w:p w14:paraId="5EF57179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If applying with partners, give each organisation’s name, legal status, contact details and delivery role.</w:t>
      </w:r>
    </w:p>
    <w:p w14:paraId="090F0FC5" w14:textId="77777777" w:rsidR="005A65CE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Describe how decisions about individual short breaks will be made, authorised and recorded.</w:t>
      </w:r>
    </w:p>
    <w:p w14:paraId="14213057" w14:textId="77777777" w:rsidR="002D69A1" w:rsidRDefault="002D69A1" w:rsidP="002D69A1">
      <w:pPr>
        <w:pStyle w:val="ListBullet"/>
        <w:numPr>
          <w:ilvl w:val="0"/>
          <w:numId w:val="0"/>
        </w:numPr>
        <w:ind w:left="540" w:hanging="271"/>
        <w:rPr>
          <w:rFonts w:ascii="Montserrat" w:hAnsi="Montserrat"/>
        </w:rPr>
      </w:pPr>
    </w:p>
    <w:p w14:paraId="6E4952C2" w14:textId="51566EB0" w:rsidR="002D69A1" w:rsidRPr="00975C75" w:rsidRDefault="002D69A1" w:rsidP="002D69A1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7 — Short breaks award process </w:t>
      </w:r>
      <w:r w:rsidR="0066429C" w:rsidRPr="00975C75">
        <w:rPr>
          <w:rFonts w:ascii="Montserrat" w:hAnsi="Montserrat"/>
          <w:color w:val="007DA5" w:themeColor="accent2"/>
        </w:rPr>
        <w:t>(300 words)</w:t>
      </w:r>
    </w:p>
    <w:p w14:paraId="62F39BF0" w14:textId="1623ECB6" w:rsidR="002D69A1" w:rsidRPr="002D69A1" w:rsidRDefault="002D69A1" w:rsidP="002D69A1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Describe how decisions about short breaks will be made, authorised and recorded</w:t>
      </w:r>
      <w:r w:rsidR="00090DA2">
        <w:rPr>
          <w:rFonts w:ascii="Montserrat" w:hAnsi="Montserrat"/>
        </w:rPr>
        <w:t>, ensuring the funding is supporting the needs of unpaid carers</w:t>
      </w:r>
      <w:r w:rsidRPr="009B1A15">
        <w:rPr>
          <w:rFonts w:ascii="Montserrat" w:hAnsi="Montserrat"/>
        </w:rPr>
        <w:t>.</w:t>
      </w:r>
    </w:p>
    <w:p w14:paraId="21DC9FC2" w14:textId="77777777" w:rsidR="005A65CE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Explain how suppliers, activities or items will be paid for. Bank transfers directly to unpaid carers are prohibited.</w:t>
      </w:r>
    </w:p>
    <w:p w14:paraId="65318151" w14:textId="77777777" w:rsidR="00090DA2" w:rsidRDefault="00090DA2" w:rsidP="00090DA2">
      <w:pPr>
        <w:pStyle w:val="ListBullet"/>
        <w:numPr>
          <w:ilvl w:val="0"/>
          <w:numId w:val="0"/>
        </w:numPr>
        <w:ind w:left="540" w:hanging="271"/>
        <w:rPr>
          <w:rFonts w:ascii="Montserrat" w:hAnsi="Montserrat"/>
        </w:rPr>
      </w:pPr>
    </w:p>
    <w:p w14:paraId="143BE4C2" w14:textId="45A4435C" w:rsidR="00090DA2" w:rsidRPr="00975C75" w:rsidRDefault="00090DA2" w:rsidP="00090DA2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>Step 8 — Scheme aims</w:t>
      </w:r>
      <w:r w:rsidR="0066429C" w:rsidRPr="00975C75">
        <w:rPr>
          <w:rFonts w:ascii="Montserrat" w:hAnsi="Montserrat"/>
          <w:color w:val="007DA5" w:themeColor="accent2"/>
        </w:rPr>
        <w:t xml:space="preserve"> (250 words)</w:t>
      </w:r>
    </w:p>
    <w:p w14:paraId="58C3B287" w14:textId="05ACCF00" w:rsidR="00090DA2" w:rsidRPr="00090DA2" w:rsidRDefault="00090DA2" w:rsidP="00090DA2">
      <w:pPr>
        <w:rPr>
          <w:rFonts w:ascii="Montserrat" w:hAnsi="Montserrat" w:cs="Arial"/>
          <w:bCs/>
          <w:szCs w:val="21"/>
        </w:rPr>
      </w:pPr>
      <w:r w:rsidRPr="00090DA2">
        <w:rPr>
          <w:rFonts w:ascii="Montserrat" w:eastAsia="Rubik" w:hAnsi="Montserrat" w:cs="Rubik"/>
          <w:szCs w:val="21"/>
        </w:rPr>
        <w:t xml:space="preserve">How will your proposed project </w:t>
      </w:r>
      <w:proofErr w:type="gramStart"/>
      <w:r w:rsidRPr="00090DA2">
        <w:rPr>
          <w:rFonts w:ascii="Montserrat" w:eastAsia="Rubik" w:hAnsi="Montserrat" w:cs="Rubik"/>
          <w:szCs w:val="21"/>
        </w:rPr>
        <w:t>addresses</w:t>
      </w:r>
      <w:proofErr w:type="gramEnd"/>
      <w:r w:rsidRPr="00090DA2">
        <w:rPr>
          <w:rFonts w:ascii="Montserrat" w:eastAsia="Rubik" w:hAnsi="Montserrat" w:cs="Rubik"/>
          <w:szCs w:val="21"/>
        </w:rPr>
        <w:t xml:space="preserve"> the key aims of the Short Breaks Scheme. </w:t>
      </w:r>
      <w:r w:rsidRPr="00090DA2">
        <w:rPr>
          <w:rFonts w:ascii="Montserrat" w:hAnsi="Montserrat" w:cs="Rubik"/>
          <w:bCs/>
          <w:szCs w:val="21"/>
        </w:rPr>
        <w:t xml:space="preserve"> M</w:t>
      </w:r>
      <w:r w:rsidRPr="00090DA2">
        <w:rPr>
          <w:rFonts w:ascii="Montserrat" w:hAnsi="Montserrat" w:cs="Arial"/>
          <w:bCs/>
          <w:szCs w:val="21"/>
        </w:rPr>
        <w:t>ax 250 words.</w:t>
      </w:r>
    </w:p>
    <w:p w14:paraId="66A4CCE4" w14:textId="77777777" w:rsidR="00090DA2" w:rsidRPr="00090DA2" w:rsidRDefault="00090DA2" w:rsidP="00090DA2">
      <w:pPr>
        <w:pStyle w:val="ListParagraph"/>
        <w:numPr>
          <w:ilvl w:val="0"/>
          <w:numId w:val="10"/>
        </w:numPr>
        <w:spacing w:after="160" w:line="240" w:lineRule="auto"/>
        <w:ind w:left="851" w:hanging="284"/>
        <w:rPr>
          <w:rFonts w:ascii="Montserrat" w:eastAsia="Rubik" w:hAnsi="Montserrat" w:cs="Rubik"/>
          <w:lang w:eastAsia="en-GB"/>
        </w:rPr>
      </w:pPr>
      <w:r w:rsidRPr="00975C75">
        <w:rPr>
          <w:rFonts w:ascii="Montserrat" w:eastAsia="Rubik" w:hAnsi="Montserrat" w:cs="Rubik"/>
          <w:b/>
          <w:bCs/>
          <w:color w:val="007DA5" w:themeColor="accent2"/>
          <w:lang w:eastAsia="en-GB"/>
        </w:rPr>
        <w:lastRenderedPageBreak/>
        <w:t>Support unpaid carers</w:t>
      </w:r>
      <w:r w:rsidRPr="00975C75">
        <w:rPr>
          <w:rFonts w:ascii="Montserrat" w:eastAsia="Rubik" w:hAnsi="Montserrat" w:cs="Rubik"/>
          <w:color w:val="007DA5" w:themeColor="accent2"/>
          <w:lang w:eastAsia="en-GB"/>
        </w:rPr>
        <w:t> </w:t>
      </w:r>
      <w:r w:rsidRPr="00090DA2">
        <w:rPr>
          <w:rFonts w:ascii="Montserrat" w:eastAsia="Rubik" w:hAnsi="Montserrat" w:cs="Rubik"/>
          <w:lang w:eastAsia="en-GB"/>
        </w:rPr>
        <w:t>by providing them with the opportunity to take a break from   their caring responsibilities.</w:t>
      </w:r>
    </w:p>
    <w:p w14:paraId="5B553D97" w14:textId="77777777" w:rsidR="00090DA2" w:rsidRPr="00090DA2" w:rsidRDefault="00090DA2" w:rsidP="00090DA2">
      <w:pPr>
        <w:pStyle w:val="ListParagraph"/>
        <w:numPr>
          <w:ilvl w:val="0"/>
          <w:numId w:val="10"/>
        </w:numPr>
        <w:spacing w:after="160" w:line="240" w:lineRule="auto"/>
        <w:ind w:left="851" w:hanging="284"/>
        <w:rPr>
          <w:rFonts w:ascii="Montserrat" w:eastAsia="Rubik" w:hAnsi="Montserrat" w:cs="Rubik"/>
          <w:lang w:eastAsia="en-GB"/>
        </w:rPr>
      </w:pPr>
      <w:r w:rsidRPr="00975C75">
        <w:rPr>
          <w:rFonts w:ascii="Montserrat" w:eastAsia="Rubik" w:hAnsi="Montserrat" w:cs="Rubik"/>
          <w:b/>
          <w:bCs/>
          <w:color w:val="007DA5" w:themeColor="accent2"/>
          <w:lang w:eastAsia="en-GB"/>
        </w:rPr>
        <w:t>Enhance the wellbeing</w:t>
      </w:r>
      <w:r w:rsidRPr="00975C75">
        <w:rPr>
          <w:rFonts w:ascii="Montserrat" w:eastAsia="Rubik" w:hAnsi="Montserrat" w:cs="Rubik"/>
          <w:color w:val="007DA5" w:themeColor="accent2"/>
          <w:lang w:eastAsia="en-GB"/>
        </w:rPr>
        <w:t> </w:t>
      </w:r>
      <w:r w:rsidRPr="00090DA2">
        <w:rPr>
          <w:rFonts w:ascii="Montserrat" w:eastAsia="Rubik" w:hAnsi="Montserrat" w:cs="Rubik"/>
          <w:lang w:eastAsia="en-GB"/>
        </w:rPr>
        <w:t>of carers and the people they support by offering a much-needed opportunity to focus on their own mental, emotional, and physical health</w:t>
      </w:r>
    </w:p>
    <w:p w14:paraId="70289FDF" w14:textId="77777777" w:rsidR="00090DA2" w:rsidRPr="00090DA2" w:rsidRDefault="00090DA2" w:rsidP="00090DA2">
      <w:pPr>
        <w:pStyle w:val="ListParagraph"/>
        <w:numPr>
          <w:ilvl w:val="0"/>
          <w:numId w:val="10"/>
        </w:numPr>
        <w:spacing w:after="160" w:line="240" w:lineRule="auto"/>
        <w:ind w:left="851" w:hanging="284"/>
        <w:rPr>
          <w:rFonts w:ascii="Montserrat" w:eastAsia="Rubik" w:hAnsi="Montserrat" w:cs="Rubik"/>
          <w:lang w:eastAsia="en-GB"/>
        </w:rPr>
      </w:pPr>
      <w:r w:rsidRPr="00975C75">
        <w:rPr>
          <w:rFonts w:ascii="Montserrat" w:eastAsia="Rubik" w:hAnsi="Montserrat" w:cs="Rubik"/>
          <w:b/>
          <w:bCs/>
          <w:color w:val="007DA5" w:themeColor="accent2"/>
          <w:lang w:eastAsia="en-GB"/>
        </w:rPr>
        <w:t>Strengthen resilience</w:t>
      </w:r>
      <w:r w:rsidRPr="00975C75">
        <w:rPr>
          <w:rFonts w:ascii="Montserrat" w:eastAsia="Rubik" w:hAnsi="Montserrat" w:cs="Rubik"/>
          <w:color w:val="007DA5" w:themeColor="accent2"/>
          <w:lang w:eastAsia="en-GB"/>
        </w:rPr>
        <w:t> </w:t>
      </w:r>
      <w:r w:rsidRPr="00090DA2">
        <w:rPr>
          <w:rFonts w:ascii="Montserrat" w:eastAsia="Rubik" w:hAnsi="Montserrat" w:cs="Rubik"/>
          <w:lang w:eastAsia="en-GB"/>
        </w:rPr>
        <w:t>and improve the sustainability of the carer’s caring relationship</w:t>
      </w:r>
    </w:p>
    <w:p w14:paraId="618A1BEE" w14:textId="77777777" w:rsidR="00090DA2" w:rsidRPr="00090DA2" w:rsidRDefault="00090DA2" w:rsidP="00090DA2">
      <w:pPr>
        <w:pStyle w:val="ListParagraph"/>
        <w:numPr>
          <w:ilvl w:val="0"/>
          <w:numId w:val="10"/>
        </w:numPr>
        <w:spacing w:after="160" w:line="240" w:lineRule="auto"/>
        <w:ind w:left="851" w:hanging="284"/>
        <w:rPr>
          <w:rFonts w:ascii="Montserrat" w:eastAsia="Rubik" w:hAnsi="Montserrat" w:cs="Rubik"/>
          <w:lang w:eastAsia="en-GB"/>
        </w:rPr>
      </w:pPr>
      <w:r w:rsidRPr="00975C75">
        <w:rPr>
          <w:rFonts w:ascii="Montserrat" w:eastAsia="Rubik" w:hAnsi="Montserrat" w:cs="Rubik"/>
          <w:b/>
          <w:bCs/>
          <w:color w:val="007DA5" w:themeColor="accent2"/>
          <w:lang w:eastAsia="en-GB"/>
        </w:rPr>
        <w:t>Increase the availability</w:t>
      </w:r>
      <w:r w:rsidRPr="00975C75">
        <w:rPr>
          <w:rFonts w:ascii="Montserrat" w:eastAsia="Rubik" w:hAnsi="Montserrat" w:cs="Rubik"/>
          <w:color w:val="007DA5" w:themeColor="accent2"/>
          <w:lang w:eastAsia="en-GB"/>
        </w:rPr>
        <w:t> </w:t>
      </w:r>
      <w:r w:rsidRPr="00090DA2">
        <w:rPr>
          <w:rFonts w:ascii="Montserrat" w:eastAsia="Rubik" w:hAnsi="Montserrat" w:cs="Rubik"/>
          <w:lang w:eastAsia="en-GB"/>
        </w:rPr>
        <w:t>of short breaks for unpaid carers, which is crucial in the current climate of uncertainty and the cost-of-living crisis</w:t>
      </w:r>
    </w:p>
    <w:p w14:paraId="6B270E18" w14:textId="38530461" w:rsidR="00090DA2" w:rsidRPr="00721096" w:rsidRDefault="00090DA2" w:rsidP="00721096">
      <w:pPr>
        <w:pStyle w:val="ListParagraph"/>
        <w:numPr>
          <w:ilvl w:val="0"/>
          <w:numId w:val="10"/>
        </w:numPr>
        <w:spacing w:after="160" w:line="240" w:lineRule="auto"/>
        <w:ind w:left="851" w:hanging="284"/>
        <w:rPr>
          <w:rFonts w:ascii="Montserrat" w:eastAsia="Rubik" w:hAnsi="Montserrat" w:cs="Rubik"/>
          <w:lang w:eastAsia="en-GB"/>
        </w:rPr>
      </w:pPr>
      <w:r w:rsidRPr="00975C75">
        <w:rPr>
          <w:rFonts w:ascii="Montserrat" w:eastAsia="Rubik" w:hAnsi="Montserrat" w:cs="Rubik"/>
          <w:b/>
          <w:bCs/>
          <w:color w:val="007DA5" w:themeColor="accent2"/>
          <w:lang w:eastAsia="en-GB"/>
        </w:rPr>
        <w:t>Celebrate the impact</w:t>
      </w:r>
      <w:r w:rsidRPr="00975C75">
        <w:rPr>
          <w:rFonts w:ascii="Montserrat" w:eastAsia="Rubik" w:hAnsi="Montserrat" w:cs="Rubik"/>
          <w:color w:val="007DA5" w:themeColor="accent2"/>
          <w:lang w:eastAsia="en-GB"/>
        </w:rPr>
        <w:t> </w:t>
      </w:r>
      <w:r w:rsidRPr="00090DA2">
        <w:rPr>
          <w:rFonts w:ascii="Montserrat" w:eastAsia="Rubik" w:hAnsi="Montserrat" w:cs="Rubik"/>
          <w:lang w:eastAsia="en-GB"/>
        </w:rPr>
        <w:t>of the scheme by highlighting the stories and feedback from   carers who have taken part in the scheme</w:t>
      </w:r>
    </w:p>
    <w:p w14:paraId="27E988E1" w14:textId="3DD37EB4" w:rsidR="005A65CE" w:rsidRPr="00975C75" w:rsidRDefault="00D7319A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</w:t>
      </w:r>
      <w:r w:rsidR="00090DA2" w:rsidRPr="00975C75">
        <w:rPr>
          <w:rFonts w:ascii="Montserrat" w:hAnsi="Montserrat"/>
          <w:color w:val="007DA5" w:themeColor="accent2"/>
        </w:rPr>
        <w:t>9</w:t>
      </w:r>
      <w:r w:rsidRPr="00975C75">
        <w:rPr>
          <w:rFonts w:ascii="Montserrat" w:hAnsi="Montserrat"/>
          <w:color w:val="007DA5" w:themeColor="accent2"/>
        </w:rPr>
        <w:t xml:space="preserve"> — Show how carers have shaped the proposal</w:t>
      </w:r>
      <w:r w:rsidR="0066429C" w:rsidRPr="00975C75">
        <w:rPr>
          <w:rFonts w:ascii="Montserrat" w:hAnsi="Montserrat"/>
          <w:color w:val="007DA5" w:themeColor="accent2"/>
        </w:rPr>
        <w:t xml:space="preserve"> (200 words)</w:t>
      </w:r>
    </w:p>
    <w:p w14:paraId="4534EA71" w14:textId="77777777" w:rsidR="005A65CE" w:rsidRPr="009B1A15" w:rsidRDefault="00D7319A">
      <w:pPr>
        <w:keepNext/>
        <w:rPr>
          <w:rFonts w:ascii="Montserrat" w:hAnsi="Montserrat"/>
        </w:rPr>
      </w:pPr>
      <w:r w:rsidRPr="009B1A15">
        <w:rPr>
          <w:rFonts w:ascii="Montserrat" w:hAnsi="Montserrat"/>
        </w:rPr>
        <w:t>Evidence should connect the identified need, carer feedback and your proposed response.</w:t>
      </w:r>
    </w:p>
    <w:p w14:paraId="1A12CE90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Summarise how carers have been involved in designing the project.</w:t>
      </w:r>
    </w:p>
    <w:p w14:paraId="5E8B3829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Explain why the selected carer communities have been targeted, particularly where they are underrepresented or face barriers to accessing breaks.</w:t>
      </w:r>
    </w:p>
    <w:p w14:paraId="1DF67289" w14:textId="77777777" w:rsidR="005A65CE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Avoid general statements: include relevant learning, feedback or local insight where available.</w:t>
      </w:r>
    </w:p>
    <w:p w14:paraId="562A639E" w14:textId="6554A4B7" w:rsidR="00090DA2" w:rsidRPr="009B1A15" w:rsidRDefault="00090DA2">
      <w:pPr>
        <w:pStyle w:val="ListBullet"/>
        <w:rPr>
          <w:rFonts w:ascii="Montserrat" w:hAnsi="Montserrat"/>
        </w:rPr>
      </w:pPr>
      <w:r>
        <w:rPr>
          <w:rFonts w:ascii="Montserrat" w:hAnsi="Montserrat"/>
        </w:rPr>
        <w:t xml:space="preserve">If your service has previously accessed short breaks funding for similar </w:t>
      </w:r>
      <w:r w:rsidR="004D009B">
        <w:rPr>
          <w:rFonts w:ascii="Montserrat" w:hAnsi="Montserrat"/>
        </w:rPr>
        <w:t>projects,</w:t>
      </w:r>
      <w:r>
        <w:rPr>
          <w:rFonts w:ascii="Montserrat" w:hAnsi="Montserrat"/>
        </w:rPr>
        <w:t xml:space="preserve"> please include any learning. </w:t>
      </w:r>
    </w:p>
    <w:p w14:paraId="1294ABFE" w14:textId="76C892E7" w:rsidR="005A65CE" w:rsidRPr="00975C75" w:rsidRDefault="00D7319A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</w:t>
      </w:r>
      <w:r w:rsidR="001503CF" w:rsidRPr="00975C75">
        <w:rPr>
          <w:rFonts w:ascii="Montserrat" w:hAnsi="Montserrat"/>
          <w:color w:val="007DA5" w:themeColor="accent2"/>
        </w:rPr>
        <w:t>10</w:t>
      </w:r>
      <w:r w:rsidRPr="00975C75">
        <w:rPr>
          <w:rFonts w:ascii="Montserrat" w:hAnsi="Montserrat"/>
          <w:color w:val="007DA5" w:themeColor="accent2"/>
        </w:rPr>
        <w:t xml:space="preserve"> — Plan communications </w:t>
      </w:r>
      <w:r w:rsidR="0066429C" w:rsidRPr="00975C75">
        <w:rPr>
          <w:rFonts w:ascii="Montserrat" w:hAnsi="Montserrat"/>
          <w:color w:val="007DA5" w:themeColor="accent2"/>
        </w:rPr>
        <w:t>(300 words)</w:t>
      </w:r>
    </w:p>
    <w:p w14:paraId="6C96E7EB" w14:textId="77777777" w:rsidR="005A65CE" w:rsidRPr="009B1A15" w:rsidRDefault="00D7319A">
      <w:pPr>
        <w:keepNext/>
        <w:rPr>
          <w:rFonts w:ascii="Montserrat" w:hAnsi="Montserrat"/>
        </w:rPr>
      </w:pPr>
      <w:r w:rsidRPr="009B1A15">
        <w:rPr>
          <w:rFonts w:ascii="Montserrat" w:hAnsi="Montserrat"/>
        </w:rPr>
        <w:t>Explain how eligible carers will find out about the opportunity and how you will make information accessible.</w:t>
      </w:r>
    </w:p>
    <w:p w14:paraId="744C087F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Identify the channels, networks and partners you will use to reach carers.</w:t>
      </w:r>
    </w:p>
    <w:p w14:paraId="052188A9" w14:textId="77777777" w:rsidR="001503CF" w:rsidRDefault="001503CF" w:rsidP="001503CF">
      <w:pPr>
        <w:pStyle w:val="ListBullet"/>
        <w:numPr>
          <w:ilvl w:val="0"/>
          <w:numId w:val="0"/>
        </w:numPr>
        <w:ind w:left="540"/>
        <w:rPr>
          <w:rFonts w:ascii="Montserrat" w:hAnsi="Montserrat"/>
        </w:rPr>
      </w:pPr>
    </w:p>
    <w:p w14:paraId="601F35D8" w14:textId="2315D07E" w:rsidR="001503CF" w:rsidRPr="00975C75" w:rsidRDefault="001503CF" w:rsidP="001503CF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>Step 11 — Carer reach</w:t>
      </w:r>
    </w:p>
    <w:p w14:paraId="23EEE028" w14:textId="72847F94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Give a consistent estimate for total carers, young carers, adult carers and carers new to your organisation or service.</w:t>
      </w:r>
    </w:p>
    <w:p w14:paraId="1E1A274A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Indicate which communities will benefit and provide the requested estimates for male carers, carers from minoritised ethnic communities and LGBTQ+ carers.</w:t>
      </w:r>
    </w:p>
    <w:p w14:paraId="6C6203AB" w14:textId="1D2A2A7E" w:rsidR="005A65CE" w:rsidRPr="00975C75" w:rsidRDefault="00D7319A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</w:t>
      </w:r>
      <w:r w:rsidR="001503CF" w:rsidRPr="00975C75">
        <w:rPr>
          <w:rFonts w:ascii="Montserrat" w:hAnsi="Montserrat"/>
          <w:color w:val="007DA5" w:themeColor="accent2"/>
        </w:rPr>
        <w:t>12</w:t>
      </w:r>
      <w:r w:rsidRPr="00975C75">
        <w:rPr>
          <w:rFonts w:ascii="Montserrat" w:hAnsi="Montserrat"/>
          <w:color w:val="007DA5" w:themeColor="accent2"/>
        </w:rPr>
        <w:t xml:space="preserve"> — Link activities to aims and outcomes</w:t>
      </w:r>
    </w:p>
    <w:p w14:paraId="0733A365" w14:textId="1B780489" w:rsidR="005A65CE" w:rsidRPr="009B1A15" w:rsidRDefault="00D7319A">
      <w:pPr>
        <w:keepNext/>
        <w:rPr>
          <w:rFonts w:ascii="Montserrat" w:hAnsi="Montserrat"/>
        </w:rPr>
      </w:pPr>
      <w:r w:rsidRPr="009B1A15">
        <w:rPr>
          <w:rFonts w:ascii="Montserrat" w:hAnsi="Montserrat"/>
        </w:rPr>
        <w:t xml:space="preserve">Make a clear connection between what you will do, the difference it will make and how you will </w:t>
      </w:r>
      <w:r w:rsidR="001503CF">
        <w:rPr>
          <w:rFonts w:ascii="Montserrat" w:hAnsi="Montserrat"/>
        </w:rPr>
        <w:t>demonstrate the following;</w:t>
      </w:r>
    </w:p>
    <w:p w14:paraId="63101F4C" w14:textId="1423ECE3" w:rsidR="005A65CE" w:rsidRPr="009B1A15" w:rsidRDefault="001503CF">
      <w:pPr>
        <w:pStyle w:val="ListBullet"/>
        <w:rPr>
          <w:rFonts w:ascii="Montserrat" w:hAnsi="Montserrat"/>
        </w:rPr>
      </w:pPr>
      <w:r>
        <w:rPr>
          <w:rFonts w:ascii="Montserrat" w:hAnsi="Montserrat"/>
        </w:rPr>
        <w:t>H</w:t>
      </w:r>
      <w:r w:rsidRPr="009B1A15">
        <w:rPr>
          <w:rFonts w:ascii="Montserrat" w:hAnsi="Montserrat"/>
        </w:rPr>
        <w:t>ow carers and the people they care for will experience improved wellbeing.</w:t>
      </w:r>
    </w:p>
    <w:p w14:paraId="7C8D9CFE" w14:textId="02CE1D58" w:rsidR="005A65CE" w:rsidRPr="009B1A15" w:rsidRDefault="001503CF">
      <w:pPr>
        <w:pStyle w:val="ListBullet"/>
        <w:rPr>
          <w:rFonts w:ascii="Montserrat" w:hAnsi="Montserrat"/>
        </w:rPr>
      </w:pPr>
      <w:r>
        <w:rPr>
          <w:rFonts w:ascii="Montserrat" w:hAnsi="Montserrat"/>
        </w:rPr>
        <w:t>H</w:t>
      </w:r>
      <w:r w:rsidRPr="009B1A15">
        <w:rPr>
          <w:rFonts w:ascii="Montserrat" w:hAnsi="Montserrat"/>
        </w:rPr>
        <w:t>ow carers will become more resilient and better able to sustain the caring relationship.</w:t>
      </w:r>
    </w:p>
    <w:p w14:paraId="5FCCBC2D" w14:textId="77777777" w:rsidR="005A65CE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Show how the project will increase Third Sector capacity to provide preventative, responsive breaks to carers in greatest need.</w:t>
      </w:r>
    </w:p>
    <w:p w14:paraId="670F3B78" w14:textId="77777777" w:rsidR="001503CF" w:rsidRDefault="001503CF" w:rsidP="001503CF">
      <w:pPr>
        <w:pStyle w:val="ListBullet"/>
        <w:numPr>
          <w:ilvl w:val="0"/>
          <w:numId w:val="0"/>
        </w:numPr>
        <w:ind w:left="540" w:hanging="271"/>
        <w:rPr>
          <w:rFonts w:ascii="Montserrat" w:hAnsi="Montserrat"/>
        </w:rPr>
      </w:pPr>
    </w:p>
    <w:p w14:paraId="2F7940B8" w14:textId="0EDDB70D" w:rsidR="001503CF" w:rsidRPr="00975C75" w:rsidRDefault="001503CF" w:rsidP="001503CF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lastRenderedPageBreak/>
        <w:t xml:space="preserve">Step </w:t>
      </w:r>
      <w:r w:rsidR="0066429C" w:rsidRPr="00975C75">
        <w:rPr>
          <w:rFonts w:ascii="Montserrat" w:hAnsi="Montserrat"/>
          <w:color w:val="007DA5" w:themeColor="accent2"/>
        </w:rPr>
        <w:t>13</w:t>
      </w:r>
      <w:r w:rsidRPr="00975C75">
        <w:rPr>
          <w:rFonts w:ascii="Montserrat" w:hAnsi="Montserrat"/>
          <w:color w:val="007DA5" w:themeColor="accent2"/>
        </w:rPr>
        <w:t xml:space="preserve"> — Complete the budget </w:t>
      </w:r>
    </w:p>
    <w:p w14:paraId="0DF4EC45" w14:textId="557F9587" w:rsidR="0066429C" w:rsidRPr="0066429C" w:rsidRDefault="0066429C" w:rsidP="0066429C">
      <w:pPr>
        <w:pStyle w:val="NormalWeb"/>
        <w:spacing w:before="0" w:beforeAutospacing="0" w:after="0" w:afterAutospacing="0"/>
        <w:rPr>
          <w:rFonts w:ascii="Montserrat" w:hAnsi="Montserrat" w:cs="Arial"/>
          <w:sz w:val="21"/>
          <w:szCs w:val="21"/>
        </w:rPr>
      </w:pPr>
      <w:r w:rsidRPr="0066429C">
        <w:rPr>
          <w:rFonts w:ascii="Montserrat" w:hAnsi="Montserrat" w:cs="Arial"/>
          <w:sz w:val="21"/>
          <w:szCs w:val="21"/>
        </w:rPr>
        <w:t xml:space="preserve">Provide a budget which includes, e.g. staff costs, activity costs, venue hire day to day running costs, management and overheads, etc. </w:t>
      </w:r>
    </w:p>
    <w:p w14:paraId="3D3B8565" w14:textId="77777777" w:rsidR="001503CF" w:rsidRPr="009B1A15" w:rsidRDefault="001503CF" w:rsidP="00FB0742">
      <w:pPr>
        <w:pStyle w:val="ListBullet"/>
        <w:numPr>
          <w:ilvl w:val="0"/>
          <w:numId w:val="0"/>
        </w:numPr>
        <w:rPr>
          <w:rFonts w:ascii="Montserrat" w:hAnsi="Montserrat"/>
        </w:rPr>
      </w:pPr>
    </w:p>
    <w:p w14:paraId="7CA9D2F8" w14:textId="6BA22202" w:rsidR="005A65CE" w:rsidRPr="00975C75" w:rsidRDefault="00D7319A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</w:t>
      </w:r>
      <w:r w:rsidR="0066429C" w:rsidRPr="00975C75">
        <w:rPr>
          <w:rFonts w:ascii="Montserrat" w:hAnsi="Montserrat"/>
          <w:color w:val="007DA5" w:themeColor="accent2"/>
        </w:rPr>
        <w:t>14</w:t>
      </w:r>
      <w:r w:rsidRPr="00975C75">
        <w:rPr>
          <w:rFonts w:ascii="Montserrat" w:hAnsi="Montserrat"/>
          <w:color w:val="007DA5" w:themeColor="accent2"/>
        </w:rPr>
        <w:t xml:space="preserve"> — Review the funding request</w:t>
      </w:r>
    </w:p>
    <w:p w14:paraId="1A0F6311" w14:textId="77777777" w:rsidR="005A65CE" w:rsidRPr="009B1A15" w:rsidRDefault="00D7319A">
      <w:pPr>
        <w:keepNext/>
        <w:rPr>
          <w:rFonts w:ascii="Montserrat" w:hAnsi="Montserrat"/>
        </w:rPr>
      </w:pPr>
      <w:r w:rsidRPr="009B1A15">
        <w:rPr>
          <w:rFonts w:ascii="Montserrat" w:hAnsi="Montserrat"/>
        </w:rPr>
        <w:t>State the total amount requested and check that it is within the selected grant category.</w:t>
      </w:r>
    </w:p>
    <w:p w14:paraId="5B58371A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Make sure the request is proportionate to the planned number of carers and breaks.</w:t>
      </w:r>
    </w:p>
    <w:p w14:paraId="6246B590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Check that the figures and delivery assumptions are consistent throughout the form.</w:t>
      </w:r>
    </w:p>
    <w:p w14:paraId="4DB03C57" w14:textId="77777777" w:rsidR="005A65CE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Be clear about what the funding will enable and how it supports the proposed outcomes.</w:t>
      </w:r>
    </w:p>
    <w:p w14:paraId="7D6CC22E" w14:textId="13E76B70" w:rsidR="004A0A3D" w:rsidRPr="00975C75" w:rsidRDefault="004A0A3D" w:rsidP="004A0A3D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Section </w:t>
      </w:r>
      <w:r w:rsidR="000163B2" w:rsidRPr="00975C75">
        <w:rPr>
          <w:rFonts w:ascii="Montserrat" w:hAnsi="Montserrat"/>
          <w:color w:val="007DA5" w:themeColor="accent2"/>
        </w:rPr>
        <w:t>4</w:t>
      </w:r>
    </w:p>
    <w:p w14:paraId="50624D4E" w14:textId="4799B122" w:rsidR="004A0A3D" w:rsidRPr="00975C75" w:rsidRDefault="004A0A3D" w:rsidP="004A0A3D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Step 15 — </w:t>
      </w:r>
      <w:r w:rsidR="000163B2" w:rsidRPr="00975C75">
        <w:rPr>
          <w:rFonts w:ascii="Montserrat" w:hAnsi="Montserrat"/>
          <w:color w:val="007DA5" w:themeColor="accent2"/>
        </w:rPr>
        <w:t>Project risk assessment</w:t>
      </w:r>
    </w:p>
    <w:p w14:paraId="57DE4EFC" w14:textId="6545BF57" w:rsidR="000163B2" w:rsidRPr="00615830" w:rsidRDefault="008D76F2" w:rsidP="000163B2">
      <w:pPr>
        <w:rPr>
          <w:rFonts w:ascii="Montserrat" w:hAnsi="Montserrat"/>
        </w:rPr>
      </w:pPr>
      <w:r w:rsidRPr="00615830">
        <w:rPr>
          <w:rFonts w:ascii="Montserrat" w:hAnsi="Montserrat"/>
        </w:rPr>
        <w:t xml:space="preserve">Provide any key risks to delivery and how these risks will be managed / mitigated. </w:t>
      </w:r>
      <w:r w:rsidR="0078036D">
        <w:rPr>
          <w:rFonts w:ascii="Montserrat" w:hAnsi="Montserrat"/>
        </w:rPr>
        <w:t>Please ensure you consider any engagement risks</w:t>
      </w:r>
      <w:r w:rsidR="00AC389B">
        <w:rPr>
          <w:rFonts w:ascii="Montserrat" w:hAnsi="Montserrat"/>
        </w:rPr>
        <w:t xml:space="preserve">. </w:t>
      </w:r>
    </w:p>
    <w:p w14:paraId="52686B58" w14:textId="77777777" w:rsidR="009736E6" w:rsidRDefault="009736E6" w:rsidP="000163B2">
      <w:pPr>
        <w:pStyle w:val="ListBullet"/>
        <w:numPr>
          <w:ilvl w:val="0"/>
          <w:numId w:val="0"/>
        </w:numPr>
        <w:rPr>
          <w:rFonts w:ascii="Montserrat" w:hAnsi="Montserrat"/>
        </w:rPr>
      </w:pPr>
    </w:p>
    <w:p w14:paraId="6ED3C88D" w14:textId="36C7929A" w:rsidR="009736E6" w:rsidRPr="00975C75" w:rsidRDefault="009736E6" w:rsidP="009736E6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 xml:space="preserve">Section </w:t>
      </w:r>
      <w:r w:rsidR="000163B2" w:rsidRPr="00975C75">
        <w:rPr>
          <w:rFonts w:ascii="Montserrat" w:hAnsi="Montserrat"/>
          <w:color w:val="007DA5" w:themeColor="accent2"/>
        </w:rPr>
        <w:t>5</w:t>
      </w:r>
    </w:p>
    <w:p w14:paraId="629442E7" w14:textId="54E87B36" w:rsidR="009736E6" w:rsidRPr="00975C75" w:rsidRDefault="009736E6" w:rsidP="009736E6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>Step 1</w:t>
      </w:r>
      <w:r w:rsidR="004A0A3D" w:rsidRPr="00975C75">
        <w:rPr>
          <w:rFonts w:ascii="Montserrat" w:hAnsi="Montserrat"/>
          <w:color w:val="007DA5" w:themeColor="accent2"/>
        </w:rPr>
        <w:t>6</w:t>
      </w:r>
      <w:r w:rsidRPr="00975C75">
        <w:rPr>
          <w:rFonts w:ascii="Montserrat" w:hAnsi="Montserrat"/>
          <w:color w:val="007DA5" w:themeColor="accent2"/>
        </w:rPr>
        <w:t xml:space="preserve"> — </w:t>
      </w:r>
      <w:r w:rsidR="00F85405" w:rsidRPr="00975C75">
        <w:rPr>
          <w:rFonts w:ascii="Montserrat" w:hAnsi="Montserrat"/>
          <w:color w:val="007DA5" w:themeColor="accent2"/>
        </w:rPr>
        <w:t>Evaluation and Feedback</w:t>
      </w:r>
      <w:r w:rsidR="004D009B" w:rsidRPr="00975C75">
        <w:rPr>
          <w:rFonts w:ascii="Montserrat" w:hAnsi="Montserrat"/>
          <w:color w:val="007DA5" w:themeColor="accent2"/>
        </w:rPr>
        <w:t xml:space="preserve"> (200 words</w:t>
      </w:r>
    </w:p>
    <w:p w14:paraId="1285B7DB" w14:textId="77777777" w:rsidR="00F85405" w:rsidRDefault="00F85405" w:rsidP="00F85405">
      <w:pPr>
        <w:spacing w:after="0" w:line="240" w:lineRule="auto"/>
        <w:rPr>
          <w:rFonts w:ascii="Montserrat" w:hAnsi="Montserrat" w:cs="Arial"/>
          <w:szCs w:val="21"/>
        </w:rPr>
      </w:pPr>
      <w:r w:rsidRPr="004D009B">
        <w:rPr>
          <w:rFonts w:ascii="Montserrat" w:hAnsi="Montserrat" w:cs="Arial"/>
          <w:szCs w:val="21"/>
        </w:rPr>
        <w:t>How you will collect the required monitoring data and unpaid carer feedback to measure your project’s reach and success. Max 200 words</w:t>
      </w:r>
    </w:p>
    <w:p w14:paraId="3B212035" w14:textId="77777777" w:rsidR="005A636A" w:rsidRDefault="005A636A" w:rsidP="00F85405">
      <w:pPr>
        <w:spacing w:after="0" w:line="240" w:lineRule="auto"/>
        <w:rPr>
          <w:rFonts w:ascii="Montserrat" w:hAnsi="Montserrat" w:cs="Arial"/>
          <w:szCs w:val="21"/>
        </w:rPr>
      </w:pPr>
    </w:p>
    <w:p w14:paraId="497C283A" w14:textId="77777777" w:rsidR="005A636A" w:rsidRPr="004D009B" w:rsidRDefault="005A636A" w:rsidP="00F85405">
      <w:pPr>
        <w:spacing w:after="0" w:line="240" w:lineRule="auto"/>
        <w:rPr>
          <w:rFonts w:ascii="Montserrat" w:hAnsi="Montserrat" w:cs="Arial"/>
          <w:szCs w:val="21"/>
        </w:rPr>
      </w:pPr>
    </w:p>
    <w:p w14:paraId="46164742" w14:textId="4D27A7DC" w:rsidR="008B191D" w:rsidRPr="00975C75" w:rsidRDefault="008B191D" w:rsidP="008B191D">
      <w:pPr>
        <w:pStyle w:val="Heading2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>Step 1</w:t>
      </w:r>
      <w:r>
        <w:rPr>
          <w:rFonts w:ascii="Montserrat" w:hAnsi="Montserrat"/>
          <w:color w:val="007DA5" w:themeColor="accent2"/>
        </w:rPr>
        <w:t>7</w:t>
      </w:r>
      <w:r w:rsidRPr="00975C75">
        <w:rPr>
          <w:rFonts w:ascii="Montserrat" w:hAnsi="Montserrat"/>
          <w:color w:val="007DA5" w:themeColor="accent2"/>
        </w:rPr>
        <w:t xml:space="preserve"> — </w:t>
      </w:r>
      <w:r>
        <w:rPr>
          <w:rFonts w:ascii="Montserrat" w:hAnsi="Montserrat"/>
          <w:color w:val="007DA5" w:themeColor="accent2"/>
        </w:rPr>
        <w:t>Separate budget template is completed</w:t>
      </w:r>
    </w:p>
    <w:p w14:paraId="72033295" w14:textId="77777777" w:rsidR="009736E6" w:rsidRPr="00F85405" w:rsidRDefault="009736E6" w:rsidP="009736E6">
      <w:pPr>
        <w:pStyle w:val="ListBullet"/>
        <w:numPr>
          <w:ilvl w:val="0"/>
          <w:numId w:val="0"/>
        </w:numPr>
        <w:ind w:left="540" w:hanging="271"/>
        <w:rPr>
          <w:rFonts w:ascii="Montserrat" w:hAnsi="Montserrat"/>
        </w:rPr>
      </w:pPr>
    </w:p>
    <w:p w14:paraId="2A7620EE" w14:textId="77777777" w:rsidR="005A65CE" w:rsidRPr="00975C75" w:rsidRDefault="00D7319A">
      <w:pPr>
        <w:pStyle w:val="Heading1"/>
        <w:rPr>
          <w:rFonts w:ascii="Montserrat" w:hAnsi="Montserrat"/>
          <w:color w:val="007DA5" w:themeColor="accent2"/>
        </w:rPr>
      </w:pPr>
      <w:r w:rsidRPr="00975C75">
        <w:rPr>
          <w:rFonts w:ascii="Montserrat" w:hAnsi="Montserrat"/>
          <w:color w:val="007DA5" w:themeColor="accent2"/>
        </w:rPr>
        <w:t>Final checks before submission</w:t>
      </w:r>
    </w:p>
    <w:p w14:paraId="10DA12C5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Every question is answered and each stated word limit is followed.</w:t>
      </w:r>
    </w:p>
    <w:p w14:paraId="190ECDE9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The grant category, funding request, number of breaks and estimated carer reach are consistent.</w:t>
      </w:r>
    </w:p>
    <w:p w14:paraId="67FE1BEA" w14:textId="1BECD95E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 xml:space="preserve">The proposal clearly prioritises </w:t>
      </w:r>
      <w:r w:rsidR="00721096">
        <w:rPr>
          <w:rFonts w:ascii="Montserrat" w:hAnsi="Montserrat"/>
        </w:rPr>
        <w:t xml:space="preserve">unpaid </w:t>
      </w:r>
      <w:r w:rsidRPr="009B1A15">
        <w:rPr>
          <w:rFonts w:ascii="Montserrat" w:hAnsi="Montserrat"/>
        </w:rPr>
        <w:t>carers most in need and explains how access barriers will be addressed.</w:t>
      </w:r>
    </w:p>
    <w:p w14:paraId="1A81C9A9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Partnership information is complete, where applicable.</w:t>
      </w:r>
    </w:p>
    <w:p w14:paraId="00221038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The short break award and payment process is clear and does not include bank transfers to unpaid carers.</w:t>
      </w:r>
    </w:p>
    <w:p w14:paraId="35D4F42F" w14:textId="77777777" w:rsidR="005A65CE" w:rsidRPr="009B1A15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lastRenderedPageBreak/>
        <w:t>The required supporting documents are enclosed: governing documents; latest audited or verified accounts; Equality and Diversity policy; relevant safeguarding policies; and public liability insurance.</w:t>
      </w:r>
    </w:p>
    <w:p w14:paraId="45A87FA0" w14:textId="77777777" w:rsidR="005A65CE" w:rsidRDefault="00D7319A">
      <w:pPr>
        <w:pStyle w:val="ListBullet"/>
        <w:rPr>
          <w:rFonts w:ascii="Montserrat" w:hAnsi="Montserrat"/>
        </w:rPr>
      </w:pPr>
      <w:r w:rsidRPr="009B1A15">
        <w:rPr>
          <w:rFonts w:ascii="Montserrat" w:hAnsi="Montserrat"/>
        </w:rPr>
        <w:t>The application has been proofread and is ready to submit in line with TuVida’s submission instructions.</w:t>
      </w:r>
    </w:p>
    <w:p w14:paraId="5CBFF67C" w14:textId="0053F24E" w:rsidR="005A636A" w:rsidRPr="005A636A" w:rsidRDefault="005A636A" w:rsidP="005A636A">
      <w:pPr>
        <w:pStyle w:val="ListBullet"/>
        <w:rPr>
          <w:rFonts w:ascii="Montserrat" w:hAnsi="Montserrat"/>
          <w:b/>
          <w:bCs/>
        </w:rPr>
      </w:pPr>
      <w:r w:rsidRPr="005A636A">
        <w:rPr>
          <w:rFonts w:ascii="Montserrat" w:hAnsi="Montserrat"/>
          <w:b/>
          <w:bCs/>
        </w:rPr>
        <w:t>Separate budget is completed</w:t>
      </w:r>
    </w:p>
    <w:tbl>
      <w:tblPr>
        <w:tblStyle w:val="TableGrid"/>
        <w:tblW w:w="9360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5A65CE" w:rsidRPr="009B1A15" w14:paraId="44DF6B54" w14:textId="77777777">
        <w:tc>
          <w:tcPr>
            <w:tcW w:w="9360" w:type="dxa"/>
            <w:shd w:val="clear" w:color="auto" w:fill="E8EE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34E91A" w14:textId="77777777" w:rsidR="005A65CE" w:rsidRPr="009B1A15" w:rsidRDefault="00D7319A">
            <w:pPr>
              <w:spacing w:after="0"/>
              <w:rPr>
                <w:rFonts w:ascii="Montserrat" w:hAnsi="Montserrat"/>
              </w:rPr>
            </w:pPr>
            <w:r w:rsidRPr="00975C75">
              <w:rPr>
                <w:rFonts w:ascii="Montserrat" w:hAnsi="Montserrat"/>
                <w:b/>
                <w:color w:val="007DA5" w:themeColor="accent2"/>
              </w:rPr>
              <w:t>Important</w:t>
            </w:r>
            <w:r w:rsidRPr="009B1A15">
              <w:rPr>
                <w:rFonts w:ascii="Montserrat" w:hAnsi="Montserrat"/>
                <w:b/>
                <w:color w:val="17365D"/>
              </w:rPr>
              <w:t xml:space="preserve">: </w:t>
            </w:r>
            <w:r w:rsidRPr="009B1A15">
              <w:rPr>
                <w:rFonts w:ascii="Montserrat" w:hAnsi="Montserrat"/>
              </w:rPr>
              <w:t>This guidance supports completion of the application form. Applicants should follow any separate eligibility, deadline and submission information issued by TuVida.</w:t>
            </w:r>
          </w:p>
        </w:tc>
      </w:tr>
    </w:tbl>
    <w:p w14:paraId="4A254A1C" w14:textId="77777777" w:rsidR="002C73D4" w:rsidRPr="001E33AC" w:rsidRDefault="002C73D4">
      <w:pPr>
        <w:rPr>
          <w:rFonts w:ascii="Montserrat" w:hAnsi="Montserrat"/>
        </w:rPr>
      </w:pPr>
    </w:p>
    <w:sectPr w:rsidR="002C73D4" w:rsidRPr="001E33AC" w:rsidSect="009336FD">
      <w:headerReference w:type="default" r:id="rId11"/>
      <w:footerReference w:type="default" r:id="rId12"/>
      <w:pgSz w:w="12240" w:h="15840"/>
      <w:pgMar w:top="1578" w:right="1440" w:bottom="979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2E30A" w14:textId="77777777" w:rsidR="007708D7" w:rsidRPr="009B1A15" w:rsidRDefault="007708D7">
      <w:pPr>
        <w:spacing w:after="0" w:line="240" w:lineRule="auto"/>
      </w:pPr>
      <w:r w:rsidRPr="009B1A15">
        <w:separator/>
      </w:r>
    </w:p>
  </w:endnote>
  <w:endnote w:type="continuationSeparator" w:id="0">
    <w:p w14:paraId="5E2E7FAD" w14:textId="77777777" w:rsidR="007708D7" w:rsidRPr="009B1A15" w:rsidRDefault="007708D7">
      <w:pPr>
        <w:spacing w:after="0" w:line="240" w:lineRule="auto"/>
      </w:pPr>
      <w:r w:rsidRPr="009B1A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EA66E" w14:textId="4A3879AA" w:rsidR="005A65CE" w:rsidRPr="009B1A15" w:rsidRDefault="00D7319A">
    <w:pPr>
      <w:pStyle w:val="Footer"/>
      <w:jc w:val="center"/>
    </w:pPr>
    <w:r w:rsidRPr="009B1A15">
      <w:rPr>
        <w:color w:val="5B6573"/>
        <w:sz w:val="18"/>
      </w:rPr>
      <w:t>Application guidance</w:t>
    </w:r>
    <w:r w:rsidR="00FB0742">
      <w:rPr>
        <w:color w:val="5B6573"/>
        <w:sz w:val="18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706E6" w14:textId="77777777" w:rsidR="007708D7" w:rsidRPr="009B1A15" w:rsidRDefault="007708D7">
      <w:pPr>
        <w:spacing w:after="0" w:line="240" w:lineRule="auto"/>
      </w:pPr>
      <w:r w:rsidRPr="009B1A15">
        <w:separator/>
      </w:r>
    </w:p>
  </w:footnote>
  <w:footnote w:type="continuationSeparator" w:id="0">
    <w:p w14:paraId="5F4CC160" w14:textId="77777777" w:rsidR="007708D7" w:rsidRPr="009B1A15" w:rsidRDefault="007708D7">
      <w:pPr>
        <w:spacing w:after="0" w:line="240" w:lineRule="auto"/>
      </w:pPr>
      <w:r w:rsidRPr="009B1A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10C8" w14:textId="4A2FE1F6" w:rsidR="005A65CE" w:rsidRPr="009B1A15" w:rsidRDefault="00D7799C">
    <w:pPr>
      <w:pStyle w:val="Header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A629441" wp14:editId="441E2334">
          <wp:simplePos x="0" y="0"/>
          <wp:positionH relativeFrom="column">
            <wp:posOffset>-405872</wp:posOffset>
          </wp:positionH>
          <wp:positionV relativeFrom="paragraph">
            <wp:posOffset>-174313</wp:posOffset>
          </wp:positionV>
          <wp:extent cx="1352550" cy="506730"/>
          <wp:effectExtent l="0" t="0" r="0" b="7620"/>
          <wp:wrapNone/>
          <wp:docPr id="14095345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534544" name="Picture 14095345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506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FC6EE72" wp14:editId="51D14871">
          <wp:simplePos x="0" y="0"/>
          <wp:positionH relativeFrom="column">
            <wp:posOffset>4847542</wp:posOffset>
          </wp:positionH>
          <wp:positionV relativeFrom="paragraph">
            <wp:posOffset>-143091</wp:posOffset>
          </wp:positionV>
          <wp:extent cx="1562100" cy="487045"/>
          <wp:effectExtent l="0" t="0" r="0" b="8255"/>
          <wp:wrapNone/>
          <wp:docPr id="2745009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500931" name="Picture 27450093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487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D2420E1" wp14:editId="6BDDD11E">
          <wp:simplePos x="0" y="0"/>
          <wp:positionH relativeFrom="margin">
            <wp:align>center</wp:align>
          </wp:positionH>
          <wp:positionV relativeFrom="paragraph">
            <wp:posOffset>-191399</wp:posOffset>
          </wp:positionV>
          <wp:extent cx="1447800" cy="534670"/>
          <wp:effectExtent l="0" t="0" r="0" b="0"/>
          <wp:wrapNone/>
          <wp:docPr id="211597582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975826" name="Picture 211597582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F93618"/>
    <w:multiLevelType w:val="hybridMultilevel"/>
    <w:tmpl w:val="D7A221D2"/>
    <w:lvl w:ilvl="0" w:tplc="08090001">
      <w:start w:val="1"/>
      <w:numFmt w:val="bullet"/>
      <w:lvlText w:val=""/>
      <w:lvlJc w:val="left"/>
      <w:pPr>
        <w:ind w:left="-9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10" w15:restartNumberingAfterBreak="0">
    <w:nsid w:val="37F452C4"/>
    <w:multiLevelType w:val="hybridMultilevel"/>
    <w:tmpl w:val="8954ED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4218072">
    <w:abstractNumId w:val="8"/>
  </w:num>
  <w:num w:numId="2" w16cid:durableId="2059284451">
    <w:abstractNumId w:val="6"/>
  </w:num>
  <w:num w:numId="3" w16cid:durableId="1571619589">
    <w:abstractNumId w:val="5"/>
  </w:num>
  <w:num w:numId="4" w16cid:durableId="227687138">
    <w:abstractNumId w:val="4"/>
  </w:num>
  <w:num w:numId="5" w16cid:durableId="1739008992">
    <w:abstractNumId w:val="7"/>
  </w:num>
  <w:num w:numId="6" w16cid:durableId="448553384">
    <w:abstractNumId w:val="3"/>
  </w:num>
  <w:num w:numId="7" w16cid:durableId="705065501">
    <w:abstractNumId w:val="2"/>
  </w:num>
  <w:num w:numId="8" w16cid:durableId="1460564547">
    <w:abstractNumId w:val="1"/>
  </w:num>
  <w:num w:numId="9" w16cid:durableId="1341423206">
    <w:abstractNumId w:val="0"/>
  </w:num>
  <w:num w:numId="10" w16cid:durableId="261305951">
    <w:abstractNumId w:val="9"/>
  </w:num>
  <w:num w:numId="11" w16cid:durableId="2072724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3B2"/>
    <w:rsid w:val="00034616"/>
    <w:rsid w:val="0006063C"/>
    <w:rsid w:val="00073E6C"/>
    <w:rsid w:val="00090DA2"/>
    <w:rsid w:val="000E2D76"/>
    <w:rsid w:val="001503CF"/>
    <w:rsid w:val="0015074B"/>
    <w:rsid w:val="001E33AC"/>
    <w:rsid w:val="0029639D"/>
    <w:rsid w:val="002C73D4"/>
    <w:rsid w:val="002D69A1"/>
    <w:rsid w:val="00326F90"/>
    <w:rsid w:val="003B64FF"/>
    <w:rsid w:val="00427DB6"/>
    <w:rsid w:val="004A0A3D"/>
    <w:rsid w:val="004D009B"/>
    <w:rsid w:val="00546DD5"/>
    <w:rsid w:val="005A636A"/>
    <w:rsid w:val="005A65CE"/>
    <w:rsid w:val="00615830"/>
    <w:rsid w:val="0066429C"/>
    <w:rsid w:val="00721096"/>
    <w:rsid w:val="007708D7"/>
    <w:rsid w:val="0078036D"/>
    <w:rsid w:val="007E0F66"/>
    <w:rsid w:val="008414C6"/>
    <w:rsid w:val="008A44E8"/>
    <w:rsid w:val="008B191D"/>
    <w:rsid w:val="008D76F2"/>
    <w:rsid w:val="009336FD"/>
    <w:rsid w:val="00962949"/>
    <w:rsid w:val="009736E6"/>
    <w:rsid w:val="00975C75"/>
    <w:rsid w:val="009918D7"/>
    <w:rsid w:val="009B1A15"/>
    <w:rsid w:val="00A26D23"/>
    <w:rsid w:val="00A37F64"/>
    <w:rsid w:val="00A67E52"/>
    <w:rsid w:val="00AA1D8D"/>
    <w:rsid w:val="00AC389B"/>
    <w:rsid w:val="00B2787F"/>
    <w:rsid w:val="00B47730"/>
    <w:rsid w:val="00CB0664"/>
    <w:rsid w:val="00CD26E4"/>
    <w:rsid w:val="00D7319A"/>
    <w:rsid w:val="00D7799C"/>
    <w:rsid w:val="00DD3790"/>
    <w:rsid w:val="00F85405"/>
    <w:rsid w:val="00FB07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8A72FF"/>
  <w14:defaultImageDpi w14:val="300"/>
  <w15:docId w15:val="{49E9618F-42FB-49FE-A182-051FCC41C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/>
      <w:sz w:val="21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7365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C1DE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F6E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F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C1DE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FA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C1DE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C1DE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C1D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C1D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C1DE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ind w:left="900" w:hanging="271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C1DE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F6E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F6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C1DE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C1DE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C1DE" w:themeColor="accent1"/>
      </w:pBdr>
      <w:spacing w:before="200" w:after="280"/>
      <w:ind w:left="936" w:right="936"/>
    </w:pPr>
    <w:rPr>
      <w:b/>
      <w:bCs/>
      <w:i/>
      <w:iCs/>
      <w:color w:val="00C1D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C1DE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C1DE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7DA5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7DA5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FA6" w:themeColor="accent1" w:themeShade="BF"/>
    </w:rPr>
    <w:tblPr>
      <w:tblStyleRowBandSize w:val="1"/>
      <w:tblStyleColBandSize w:val="1"/>
      <w:tblBorders>
        <w:top w:val="single" w:sz="8" w:space="0" w:color="00C1DE" w:themeColor="accent1"/>
        <w:bottom w:val="single" w:sz="8" w:space="0" w:color="00C1D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C1DE" w:themeColor="accent1"/>
          <w:left w:val="nil"/>
          <w:bottom w:val="single" w:sz="8" w:space="0" w:color="00C1D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C1DE" w:themeColor="accent1"/>
          <w:left w:val="nil"/>
          <w:bottom w:val="single" w:sz="8" w:space="0" w:color="00C1D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F5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F5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5D7B" w:themeColor="accent2" w:themeShade="BF"/>
    </w:rPr>
    <w:tblPr>
      <w:tblStyleRowBandSize w:val="1"/>
      <w:tblStyleColBandSize w:val="1"/>
      <w:tblBorders>
        <w:top w:val="single" w:sz="8" w:space="0" w:color="007DA5" w:themeColor="accent2"/>
        <w:bottom w:val="single" w:sz="8" w:space="0" w:color="007DA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DA5" w:themeColor="accent2"/>
          <w:left w:val="nil"/>
          <w:bottom w:val="single" w:sz="8" w:space="0" w:color="007DA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DA5" w:themeColor="accent2"/>
          <w:left w:val="nil"/>
          <w:bottom w:val="single" w:sz="8" w:space="0" w:color="007DA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EA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EA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578C18" w:themeColor="accent3" w:themeShade="BF"/>
    </w:rPr>
    <w:tblPr>
      <w:tblStyleRowBandSize w:val="1"/>
      <w:tblStyleColBandSize w:val="1"/>
      <w:tblBorders>
        <w:top w:val="single" w:sz="8" w:space="0" w:color="76BC21" w:themeColor="accent3"/>
        <w:bottom w:val="single" w:sz="8" w:space="0" w:color="76BC2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BC21" w:themeColor="accent3"/>
          <w:left w:val="nil"/>
          <w:bottom w:val="single" w:sz="8" w:space="0" w:color="76BC2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BC21" w:themeColor="accent3"/>
          <w:left w:val="nil"/>
          <w:bottom w:val="single" w:sz="8" w:space="0" w:color="76BC2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F4C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F4C2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DDA200" w:themeColor="accent4" w:themeShade="BF"/>
    </w:rPr>
    <w:tblPr>
      <w:tblStyleRowBandSize w:val="1"/>
      <w:tblStyleColBandSize w:val="1"/>
      <w:tblBorders>
        <w:top w:val="single" w:sz="8" w:space="0" w:color="FFC629" w:themeColor="accent4"/>
        <w:bottom w:val="single" w:sz="8" w:space="0" w:color="FFC62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29" w:themeColor="accent4"/>
          <w:left w:val="nil"/>
          <w:bottom w:val="single" w:sz="8" w:space="0" w:color="FFC62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629" w:themeColor="accent4"/>
          <w:left w:val="nil"/>
          <w:bottom w:val="single" w:sz="8" w:space="0" w:color="FFC62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0C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B00" w:themeColor="accent5"/>
        <w:bottom w:val="single" w:sz="8" w:space="0" w:color="FF6B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B00" w:themeColor="accent5"/>
          <w:left w:val="nil"/>
          <w:bottom w:val="single" w:sz="8" w:space="0" w:color="FF6B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B00" w:themeColor="accent5"/>
          <w:left w:val="nil"/>
          <w:bottom w:val="single" w:sz="8" w:space="0" w:color="FF6B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E4043" w:themeColor="accent6" w:themeShade="BF"/>
    </w:rPr>
    <w:tblPr>
      <w:tblStyleRowBandSize w:val="1"/>
      <w:tblStyleColBandSize w:val="1"/>
      <w:tblBorders>
        <w:top w:val="single" w:sz="8" w:space="0" w:color="54565A" w:themeColor="accent6"/>
        <w:bottom w:val="single" w:sz="8" w:space="0" w:color="54565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565A" w:themeColor="accent6"/>
          <w:left w:val="nil"/>
          <w:bottom w:val="single" w:sz="8" w:space="0" w:color="54565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4565A" w:themeColor="accent6"/>
          <w:left w:val="nil"/>
          <w:bottom w:val="single" w:sz="8" w:space="0" w:color="54565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4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4D6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C1DE" w:themeColor="accent1"/>
        <w:left w:val="single" w:sz="8" w:space="0" w:color="00C1DE" w:themeColor="accent1"/>
        <w:bottom w:val="single" w:sz="8" w:space="0" w:color="00C1DE" w:themeColor="accent1"/>
        <w:right w:val="single" w:sz="8" w:space="0" w:color="00C1D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C1D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1DE" w:themeColor="accent1"/>
          <w:left w:val="single" w:sz="8" w:space="0" w:color="00C1DE" w:themeColor="accent1"/>
          <w:bottom w:val="single" w:sz="8" w:space="0" w:color="00C1DE" w:themeColor="accent1"/>
          <w:right w:val="single" w:sz="8" w:space="0" w:color="00C1D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C1DE" w:themeColor="accent1"/>
          <w:left w:val="single" w:sz="8" w:space="0" w:color="00C1DE" w:themeColor="accent1"/>
          <w:bottom w:val="single" w:sz="8" w:space="0" w:color="00C1DE" w:themeColor="accent1"/>
          <w:right w:val="single" w:sz="8" w:space="0" w:color="00C1DE" w:themeColor="accent1"/>
        </w:tcBorders>
      </w:tcPr>
    </w:tblStylePr>
    <w:tblStylePr w:type="band1Horz">
      <w:tblPr/>
      <w:tcPr>
        <w:tcBorders>
          <w:top w:val="single" w:sz="8" w:space="0" w:color="00C1DE" w:themeColor="accent1"/>
          <w:left w:val="single" w:sz="8" w:space="0" w:color="00C1DE" w:themeColor="accent1"/>
          <w:bottom w:val="single" w:sz="8" w:space="0" w:color="00C1DE" w:themeColor="accent1"/>
          <w:right w:val="single" w:sz="8" w:space="0" w:color="00C1DE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7DA5" w:themeColor="accent2"/>
        <w:left w:val="single" w:sz="8" w:space="0" w:color="007DA5" w:themeColor="accent2"/>
        <w:bottom w:val="single" w:sz="8" w:space="0" w:color="007DA5" w:themeColor="accent2"/>
        <w:right w:val="single" w:sz="8" w:space="0" w:color="007DA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DA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DA5" w:themeColor="accent2"/>
          <w:left w:val="single" w:sz="8" w:space="0" w:color="007DA5" w:themeColor="accent2"/>
          <w:bottom w:val="single" w:sz="8" w:space="0" w:color="007DA5" w:themeColor="accent2"/>
          <w:right w:val="single" w:sz="8" w:space="0" w:color="007DA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DA5" w:themeColor="accent2"/>
          <w:left w:val="single" w:sz="8" w:space="0" w:color="007DA5" w:themeColor="accent2"/>
          <w:bottom w:val="single" w:sz="8" w:space="0" w:color="007DA5" w:themeColor="accent2"/>
          <w:right w:val="single" w:sz="8" w:space="0" w:color="007DA5" w:themeColor="accent2"/>
        </w:tcBorders>
      </w:tcPr>
    </w:tblStylePr>
    <w:tblStylePr w:type="band1Horz">
      <w:tblPr/>
      <w:tcPr>
        <w:tcBorders>
          <w:top w:val="single" w:sz="8" w:space="0" w:color="007DA5" w:themeColor="accent2"/>
          <w:left w:val="single" w:sz="8" w:space="0" w:color="007DA5" w:themeColor="accent2"/>
          <w:bottom w:val="single" w:sz="8" w:space="0" w:color="007DA5" w:themeColor="accent2"/>
          <w:right w:val="single" w:sz="8" w:space="0" w:color="007DA5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6BC21" w:themeColor="accent3"/>
        <w:left w:val="single" w:sz="8" w:space="0" w:color="76BC21" w:themeColor="accent3"/>
        <w:bottom w:val="single" w:sz="8" w:space="0" w:color="76BC21" w:themeColor="accent3"/>
        <w:right w:val="single" w:sz="8" w:space="0" w:color="76BC2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BC2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BC21" w:themeColor="accent3"/>
          <w:left w:val="single" w:sz="8" w:space="0" w:color="76BC21" w:themeColor="accent3"/>
          <w:bottom w:val="single" w:sz="8" w:space="0" w:color="76BC21" w:themeColor="accent3"/>
          <w:right w:val="single" w:sz="8" w:space="0" w:color="76BC2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BC21" w:themeColor="accent3"/>
          <w:left w:val="single" w:sz="8" w:space="0" w:color="76BC21" w:themeColor="accent3"/>
          <w:bottom w:val="single" w:sz="8" w:space="0" w:color="76BC21" w:themeColor="accent3"/>
          <w:right w:val="single" w:sz="8" w:space="0" w:color="76BC21" w:themeColor="accent3"/>
        </w:tcBorders>
      </w:tcPr>
    </w:tblStylePr>
    <w:tblStylePr w:type="band1Horz">
      <w:tblPr/>
      <w:tcPr>
        <w:tcBorders>
          <w:top w:val="single" w:sz="8" w:space="0" w:color="76BC21" w:themeColor="accent3"/>
          <w:left w:val="single" w:sz="8" w:space="0" w:color="76BC21" w:themeColor="accent3"/>
          <w:bottom w:val="single" w:sz="8" w:space="0" w:color="76BC21" w:themeColor="accent3"/>
          <w:right w:val="single" w:sz="8" w:space="0" w:color="76BC21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629" w:themeColor="accent4"/>
        <w:left w:val="single" w:sz="8" w:space="0" w:color="FFC629" w:themeColor="accent4"/>
        <w:bottom w:val="single" w:sz="8" w:space="0" w:color="FFC629" w:themeColor="accent4"/>
        <w:right w:val="single" w:sz="8" w:space="0" w:color="FFC62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62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629" w:themeColor="accent4"/>
          <w:left w:val="single" w:sz="8" w:space="0" w:color="FFC629" w:themeColor="accent4"/>
          <w:bottom w:val="single" w:sz="8" w:space="0" w:color="FFC629" w:themeColor="accent4"/>
          <w:right w:val="single" w:sz="8" w:space="0" w:color="FFC62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629" w:themeColor="accent4"/>
          <w:left w:val="single" w:sz="8" w:space="0" w:color="FFC629" w:themeColor="accent4"/>
          <w:bottom w:val="single" w:sz="8" w:space="0" w:color="FFC629" w:themeColor="accent4"/>
          <w:right w:val="single" w:sz="8" w:space="0" w:color="FFC629" w:themeColor="accent4"/>
        </w:tcBorders>
      </w:tcPr>
    </w:tblStylePr>
    <w:tblStylePr w:type="band1Horz">
      <w:tblPr/>
      <w:tcPr>
        <w:tcBorders>
          <w:top w:val="single" w:sz="8" w:space="0" w:color="FFC629" w:themeColor="accent4"/>
          <w:left w:val="single" w:sz="8" w:space="0" w:color="FFC629" w:themeColor="accent4"/>
          <w:bottom w:val="single" w:sz="8" w:space="0" w:color="FFC629" w:themeColor="accent4"/>
          <w:right w:val="single" w:sz="8" w:space="0" w:color="FFC629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6B00" w:themeColor="accent5"/>
        <w:left w:val="single" w:sz="8" w:space="0" w:color="FF6B00" w:themeColor="accent5"/>
        <w:bottom w:val="single" w:sz="8" w:space="0" w:color="FF6B00" w:themeColor="accent5"/>
        <w:right w:val="single" w:sz="8" w:space="0" w:color="FF6B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B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B00" w:themeColor="accent5"/>
          <w:left w:val="single" w:sz="8" w:space="0" w:color="FF6B00" w:themeColor="accent5"/>
          <w:bottom w:val="single" w:sz="8" w:space="0" w:color="FF6B00" w:themeColor="accent5"/>
          <w:right w:val="single" w:sz="8" w:space="0" w:color="FF6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B00" w:themeColor="accent5"/>
          <w:left w:val="single" w:sz="8" w:space="0" w:color="FF6B00" w:themeColor="accent5"/>
          <w:bottom w:val="single" w:sz="8" w:space="0" w:color="FF6B00" w:themeColor="accent5"/>
          <w:right w:val="single" w:sz="8" w:space="0" w:color="FF6B00" w:themeColor="accent5"/>
        </w:tcBorders>
      </w:tcPr>
    </w:tblStylePr>
    <w:tblStylePr w:type="band1Horz">
      <w:tblPr/>
      <w:tcPr>
        <w:tcBorders>
          <w:top w:val="single" w:sz="8" w:space="0" w:color="FF6B00" w:themeColor="accent5"/>
          <w:left w:val="single" w:sz="8" w:space="0" w:color="FF6B00" w:themeColor="accent5"/>
          <w:bottom w:val="single" w:sz="8" w:space="0" w:color="FF6B00" w:themeColor="accent5"/>
          <w:right w:val="single" w:sz="8" w:space="0" w:color="FF6B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4565A" w:themeColor="accent6"/>
        <w:left w:val="single" w:sz="8" w:space="0" w:color="54565A" w:themeColor="accent6"/>
        <w:bottom w:val="single" w:sz="8" w:space="0" w:color="54565A" w:themeColor="accent6"/>
        <w:right w:val="single" w:sz="8" w:space="0" w:color="54565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4565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565A" w:themeColor="accent6"/>
          <w:left w:val="single" w:sz="8" w:space="0" w:color="54565A" w:themeColor="accent6"/>
          <w:bottom w:val="single" w:sz="8" w:space="0" w:color="54565A" w:themeColor="accent6"/>
          <w:right w:val="single" w:sz="8" w:space="0" w:color="54565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4565A" w:themeColor="accent6"/>
          <w:left w:val="single" w:sz="8" w:space="0" w:color="54565A" w:themeColor="accent6"/>
          <w:bottom w:val="single" w:sz="8" w:space="0" w:color="54565A" w:themeColor="accent6"/>
          <w:right w:val="single" w:sz="8" w:space="0" w:color="54565A" w:themeColor="accent6"/>
        </w:tcBorders>
      </w:tcPr>
    </w:tblStylePr>
    <w:tblStylePr w:type="band1Horz">
      <w:tblPr/>
      <w:tcPr>
        <w:tcBorders>
          <w:top w:val="single" w:sz="8" w:space="0" w:color="54565A" w:themeColor="accent6"/>
          <w:left w:val="single" w:sz="8" w:space="0" w:color="54565A" w:themeColor="accent6"/>
          <w:bottom w:val="single" w:sz="8" w:space="0" w:color="54565A" w:themeColor="accent6"/>
          <w:right w:val="single" w:sz="8" w:space="0" w:color="54565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C1DE" w:themeColor="accent1"/>
        <w:left w:val="single" w:sz="8" w:space="0" w:color="00C1DE" w:themeColor="accent1"/>
        <w:bottom w:val="single" w:sz="8" w:space="0" w:color="00C1DE" w:themeColor="accent1"/>
        <w:right w:val="single" w:sz="8" w:space="0" w:color="00C1DE" w:themeColor="accent1"/>
        <w:insideH w:val="single" w:sz="8" w:space="0" w:color="00C1DE" w:themeColor="accent1"/>
        <w:insideV w:val="single" w:sz="8" w:space="0" w:color="00C1D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C1DE" w:themeColor="accent1"/>
          <w:left w:val="single" w:sz="8" w:space="0" w:color="00C1DE" w:themeColor="accent1"/>
          <w:bottom w:val="single" w:sz="18" w:space="0" w:color="00C1DE" w:themeColor="accent1"/>
          <w:right w:val="single" w:sz="8" w:space="0" w:color="00C1DE" w:themeColor="accent1"/>
          <w:insideH w:val="nil"/>
          <w:insideV w:val="single" w:sz="8" w:space="0" w:color="00C1D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C1DE" w:themeColor="accent1"/>
          <w:left w:val="single" w:sz="8" w:space="0" w:color="00C1DE" w:themeColor="accent1"/>
          <w:bottom w:val="single" w:sz="8" w:space="0" w:color="00C1DE" w:themeColor="accent1"/>
          <w:right w:val="single" w:sz="8" w:space="0" w:color="00C1DE" w:themeColor="accent1"/>
          <w:insideH w:val="nil"/>
          <w:insideV w:val="single" w:sz="8" w:space="0" w:color="00C1D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C1DE" w:themeColor="accent1"/>
          <w:left w:val="single" w:sz="8" w:space="0" w:color="00C1DE" w:themeColor="accent1"/>
          <w:bottom w:val="single" w:sz="8" w:space="0" w:color="00C1DE" w:themeColor="accent1"/>
          <w:right w:val="single" w:sz="8" w:space="0" w:color="00C1DE" w:themeColor="accent1"/>
        </w:tcBorders>
      </w:tcPr>
    </w:tblStylePr>
    <w:tblStylePr w:type="band1Vert">
      <w:tblPr/>
      <w:tcPr>
        <w:tcBorders>
          <w:top w:val="single" w:sz="8" w:space="0" w:color="00C1DE" w:themeColor="accent1"/>
          <w:left w:val="single" w:sz="8" w:space="0" w:color="00C1DE" w:themeColor="accent1"/>
          <w:bottom w:val="single" w:sz="8" w:space="0" w:color="00C1DE" w:themeColor="accent1"/>
          <w:right w:val="single" w:sz="8" w:space="0" w:color="00C1DE" w:themeColor="accent1"/>
        </w:tcBorders>
        <w:shd w:val="clear" w:color="auto" w:fill="B7F5FF" w:themeFill="accent1" w:themeFillTint="3F"/>
      </w:tcPr>
    </w:tblStylePr>
    <w:tblStylePr w:type="band1Horz">
      <w:tblPr/>
      <w:tcPr>
        <w:tcBorders>
          <w:top w:val="single" w:sz="8" w:space="0" w:color="00C1DE" w:themeColor="accent1"/>
          <w:left w:val="single" w:sz="8" w:space="0" w:color="00C1DE" w:themeColor="accent1"/>
          <w:bottom w:val="single" w:sz="8" w:space="0" w:color="00C1DE" w:themeColor="accent1"/>
          <w:right w:val="single" w:sz="8" w:space="0" w:color="00C1DE" w:themeColor="accent1"/>
          <w:insideV w:val="single" w:sz="8" w:space="0" w:color="00C1DE" w:themeColor="accent1"/>
        </w:tcBorders>
        <w:shd w:val="clear" w:color="auto" w:fill="B7F5FF" w:themeFill="accent1" w:themeFillTint="3F"/>
      </w:tcPr>
    </w:tblStylePr>
    <w:tblStylePr w:type="band2Horz">
      <w:tblPr/>
      <w:tcPr>
        <w:tcBorders>
          <w:top w:val="single" w:sz="8" w:space="0" w:color="00C1DE" w:themeColor="accent1"/>
          <w:left w:val="single" w:sz="8" w:space="0" w:color="00C1DE" w:themeColor="accent1"/>
          <w:bottom w:val="single" w:sz="8" w:space="0" w:color="00C1DE" w:themeColor="accent1"/>
          <w:right w:val="single" w:sz="8" w:space="0" w:color="00C1DE" w:themeColor="accent1"/>
          <w:insideV w:val="single" w:sz="8" w:space="0" w:color="00C1DE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7DA5" w:themeColor="accent2"/>
        <w:left w:val="single" w:sz="8" w:space="0" w:color="007DA5" w:themeColor="accent2"/>
        <w:bottom w:val="single" w:sz="8" w:space="0" w:color="007DA5" w:themeColor="accent2"/>
        <w:right w:val="single" w:sz="8" w:space="0" w:color="007DA5" w:themeColor="accent2"/>
        <w:insideH w:val="single" w:sz="8" w:space="0" w:color="007DA5" w:themeColor="accent2"/>
        <w:insideV w:val="single" w:sz="8" w:space="0" w:color="007DA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DA5" w:themeColor="accent2"/>
          <w:left w:val="single" w:sz="8" w:space="0" w:color="007DA5" w:themeColor="accent2"/>
          <w:bottom w:val="single" w:sz="18" w:space="0" w:color="007DA5" w:themeColor="accent2"/>
          <w:right w:val="single" w:sz="8" w:space="0" w:color="007DA5" w:themeColor="accent2"/>
          <w:insideH w:val="nil"/>
          <w:insideV w:val="single" w:sz="8" w:space="0" w:color="007DA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DA5" w:themeColor="accent2"/>
          <w:left w:val="single" w:sz="8" w:space="0" w:color="007DA5" w:themeColor="accent2"/>
          <w:bottom w:val="single" w:sz="8" w:space="0" w:color="007DA5" w:themeColor="accent2"/>
          <w:right w:val="single" w:sz="8" w:space="0" w:color="007DA5" w:themeColor="accent2"/>
          <w:insideH w:val="nil"/>
          <w:insideV w:val="single" w:sz="8" w:space="0" w:color="007DA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DA5" w:themeColor="accent2"/>
          <w:left w:val="single" w:sz="8" w:space="0" w:color="007DA5" w:themeColor="accent2"/>
          <w:bottom w:val="single" w:sz="8" w:space="0" w:color="007DA5" w:themeColor="accent2"/>
          <w:right w:val="single" w:sz="8" w:space="0" w:color="007DA5" w:themeColor="accent2"/>
        </w:tcBorders>
      </w:tcPr>
    </w:tblStylePr>
    <w:tblStylePr w:type="band1Vert">
      <w:tblPr/>
      <w:tcPr>
        <w:tcBorders>
          <w:top w:val="single" w:sz="8" w:space="0" w:color="007DA5" w:themeColor="accent2"/>
          <w:left w:val="single" w:sz="8" w:space="0" w:color="007DA5" w:themeColor="accent2"/>
          <w:bottom w:val="single" w:sz="8" w:space="0" w:color="007DA5" w:themeColor="accent2"/>
          <w:right w:val="single" w:sz="8" w:space="0" w:color="007DA5" w:themeColor="accent2"/>
        </w:tcBorders>
        <w:shd w:val="clear" w:color="auto" w:fill="A9EAFF" w:themeFill="accent2" w:themeFillTint="3F"/>
      </w:tcPr>
    </w:tblStylePr>
    <w:tblStylePr w:type="band1Horz">
      <w:tblPr/>
      <w:tcPr>
        <w:tcBorders>
          <w:top w:val="single" w:sz="8" w:space="0" w:color="007DA5" w:themeColor="accent2"/>
          <w:left w:val="single" w:sz="8" w:space="0" w:color="007DA5" w:themeColor="accent2"/>
          <w:bottom w:val="single" w:sz="8" w:space="0" w:color="007DA5" w:themeColor="accent2"/>
          <w:right w:val="single" w:sz="8" w:space="0" w:color="007DA5" w:themeColor="accent2"/>
          <w:insideV w:val="single" w:sz="8" w:space="0" w:color="007DA5" w:themeColor="accent2"/>
        </w:tcBorders>
        <w:shd w:val="clear" w:color="auto" w:fill="A9EAFF" w:themeFill="accent2" w:themeFillTint="3F"/>
      </w:tcPr>
    </w:tblStylePr>
    <w:tblStylePr w:type="band2Horz">
      <w:tblPr/>
      <w:tcPr>
        <w:tcBorders>
          <w:top w:val="single" w:sz="8" w:space="0" w:color="007DA5" w:themeColor="accent2"/>
          <w:left w:val="single" w:sz="8" w:space="0" w:color="007DA5" w:themeColor="accent2"/>
          <w:bottom w:val="single" w:sz="8" w:space="0" w:color="007DA5" w:themeColor="accent2"/>
          <w:right w:val="single" w:sz="8" w:space="0" w:color="007DA5" w:themeColor="accent2"/>
          <w:insideV w:val="single" w:sz="8" w:space="0" w:color="007DA5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6BC21" w:themeColor="accent3"/>
        <w:left w:val="single" w:sz="8" w:space="0" w:color="76BC21" w:themeColor="accent3"/>
        <w:bottom w:val="single" w:sz="8" w:space="0" w:color="76BC21" w:themeColor="accent3"/>
        <w:right w:val="single" w:sz="8" w:space="0" w:color="76BC21" w:themeColor="accent3"/>
        <w:insideH w:val="single" w:sz="8" w:space="0" w:color="76BC21" w:themeColor="accent3"/>
        <w:insideV w:val="single" w:sz="8" w:space="0" w:color="76BC2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BC21" w:themeColor="accent3"/>
          <w:left w:val="single" w:sz="8" w:space="0" w:color="76BC21" w:themeColor="accent3"/>
          <w:bottom w:val="single" w:sz="18" w:space="0" w:color="76BC21" w:themeColor="accent3"/>
          <w:right w:val="single" w:sz="8" w:space="0" w:color="76BC21" w:themeColor="accent3"/>
          <w:insideH w:val="nil"/>
          <w:insideV w:val="single" w:sz="8" w:space="0" w:color="76BC2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BC21" w:themeColor="accent3"/>
          <w:left w:val="single" w:sz="8" w:space="0" w:color="76BC21" w:themeColor="accent3"/>
          <w:bottom w:val="single" w:sz="8" w:space="0" w:color="76BC21" w:themeColor="accent3"/>
          <w:right w:val="single" w:sz="8" w:space="0" w:color="76BC21" w:themeColor="accent3"/>
          <w:insideH w:val="nil"/>
          <w:insideV w:val="single" w:sz="8" w:space="0" w:color="76BC2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BC21" w:themeColor="accent3"/>
          <w:left w:val="single" w:sz="8" w:space="0" w:color="76BC21" w:themeColor="accent3"/>
          <w:bottom w:val="single" w:sz="8" w:space="0" w:color="76BC21" w:themeColor="accent3"/>
          <w:right w:val="single" w:sz="8" w:space="0" w:color="76BC21" w:themeColor="accent3"/>
        </w:tcBorders>
      </w:tcPr>
    </w:tblStylePr>
    <w:tblStylePr w:type="band1Vert">
      <w:tblPr/>
      <w:tcPr>
        <w:tcBorders>
          <w:top w:val="single" w:sz="8" w:space="0" w:color="76BC21" w:themeColor="accent3"/>
          <w:left w:val="single" w:sz="8" w:space="0" w:color="76BC21" w:themeColor="accent3"/>
          <w:bottom w:val="single" w:sz="8" w:space="0" w:color="76BC21" w:themeColor="accent3"/>
          <w:right w:val="single" w:sz="8" w:space="0" w:color="76BC21" w:themeColor="accent3"/>
        </w:tcBorders>
        <w:shd w:val="clear" w:color="auto" w:fill="DDF4C2" w:themeFill="accent3" w:themeFillTint="3F"/>
      </w:tcPr>
    </w:tblStylePr>
    <w:tblStylePr w:type="band1Horz">
      <w:tblPr/>
      <w:tcPr>
        <w:tcBorders>
          <w:top w:val="single" w:sz="8" w:space="0" w:color="76BC21" w:themeColor="accent3"/>
          <w:left w:val="single" w:sz="8" w:space="0" w:color="76BC21" w:themeColor="accent3"/>
          <w:bottom w:val="single" w:sz="8" w:space="0" w:color="76BC21" w:themeColor="accent3"/>
          <w:right w:val="single" w:sz="8" w:space="0" w:color="76BC21" w:themeColor="accent3"/>
          <w:insideV w:val="single" w:sz="8" w:space="0" w:color="76BC21" w:themeColor="accent3"/>
        </w:tcBorders>
        <w:shd w:val="clear" w:color="auto" w:fill="DDF4C2" w:themeFill="accent3" w:themeFillTint="3F"/>
      </w:tcPr>
    </w:tblStylePr>
    <w:tblStylePr w:type="band2Horz">
      <w:tblPr/>
      <w:tcPr>
        <w:tcBorders>
          <w:top w:val="single" w:sz="8" w:space="0" w:color="76BC21" w:themeColor="accent3"/>
          <w:left w:val="single" w:sz="8" w:space="0" w:color="76BC21" w:themeColor="accent3"/>
          <w:bottom w:val="single" w:sz="8" w:space="0" w:color="76BC21" w:themeColor="accent3"/>
          <w:right w:val="single" w:sz="8" w:space="0" w:color="76BC21" w:themeColor="accent3"/>
          <w:insideV w:val="single" w:sz="8" w:space="0" w:color="76BC21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C629" w:themeColor="accent4"/>
        <w:left w:val="single" w:sz="8" w:space="0" w:color="FFC629" w:themeColor="accent4"/>
        <w:bottom w:val="single" w:sz="8" w:space="0" w:color="FFC629" w:themeColor="accent4"/>
        <w:right w:val="single" w:sz="8" w:space="0" w:color="FFC629" w:themeColor="accent4"/>
        <w:insideH w:val="single" w:sz="8" w:space="0" w:color="FFC629" w:themeColor="accent4"/>
        <w:insideV w:val="single" w:sz="8" w:space="0" w:color="FFC62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29" w:themeColor="accent4"/>
          <w:left w:val="single" w:sz="8" w:space="0" w:color="FFC629" w:themeColor="accent4"/>
          <w:bottom w:val="single" w:sz="18" w:space="0" w:color="FFC629" w:themeColor="accent4"/>
          <w:right w:val="single" w:sz="8" w:space="0" w:color="FFC629" w:themeColor="accent4"/>
          <w:insideH w:val="nil"/>
          <w:insideV w:val="single" w:sz="8" w:space="0" w:color="FFC62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629" w:themeColor="accent4"/>
          <w:left w:val="single" w:sz="8" w:space="0" w:color="FFC629" w:themeColor="accent4"/>
          <w:bottom w:val="single" w:sz="8" w:space="0" w:color="FFC629" w:themeColor="accent4"/>
          <w:right w:val="single" w:sz="8" w:space="0" w:color="FFC629" w:themeColor="accent4"/>
          <w:insideH w:val="nil"/>
          <w:insideV w:val="single" w:sz="8" w:space="0" w:color="FFC62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629" w:themeColor="accent4"/>
          <w:left w:val="single" w:sz="8" w:space="0" w:color="FFC629" w:themeColor="accent4"/>
          <w:bottom w:val="single" w:sz="8" w:space="0" w:color="FFC629" w:themeColor="accent4"/>
          <w:right w:val="single" w:sz="8" w:space="0" w:color="FFC629" w:themeColor="accent4"/>
        </w:tcBorders>
      </w:tcPr>
    </w:tblStylePr>
    <w:tblStylePr w:type="band1Vert">
      <w:tblPr/>
      <w:tcPr>
        <w:tcBorders>
          <w:top w:val="single" w:sz="8" w:space="0" w:color="FFC629" w:themeColor="accent4"/>
          <w:left w:val="single" w:sz="8" w:space="0" w:color="FFC629" w:themeColor="accent4"/>
          <w:bottom w:val="single" w:sz="8" w:space="0" w:color="FFC629" w:themeColor="accent4"/>
          <w:right w:val="single" w:sz="8" w:space="0" w:color="FFC629" w:themeColor="accent4"/>
        </w:tcBorders>
        <w:shd w:val="clear" w:color="auto" w:fill="FFF0CA" w:themeFill="accent4" w:themeFillTint="3F"/>
      </w:tcPr>
    </w:tblStylePr>
    <w:tblStylePr w:type="band1Horz">
      <w:tblPr/>
      <w:tcPr>
        <w:tcBorders>
          <w:top w:val="single" w:sz="8" w:space="0" w:color="FFC629" w:themeColor="accent4"/>
          <w:left w:val="single" w:sz="8" w:space="0" w:color="FFC629" w:themeColor="accent4"/>
          <w:bottom w:val="single" w:sz="8" w:space="0" w:color="FFC629" w:themeColor="accent4"/>
          <w:right w:val="single" w:sz="8" w:space="0" w:color="FFC629" w:themeColor="accent4"/>
          <w:insideV w:val="single" w:sz="8" w:space="0" w:color="FFC629" w:themeColor="accent4"/>
        </w:tcBorders>
        <w:shd w:val="clear" w:color="auto" w:fill="FFF0CA" w:themeFill="accent4" w:themeFillTint="3F"/>
      </w:tcPr>
    </w:tblStylePr>
    <w:tblStylePr w:type="band2Horz">
      <w:tblPr/>
      <w:tcPr>
        <w:tcBorders>
          <w:top w:val="single" w:sz="8" w:space="0" w:color="FFC629" w:themeColor="accent4"/>
          <w:left w:val="single" w:sz="8" w:space="0" w:color="FFC629" w:themeColor="accent4"/>
          <w:bottom w:val="single" w:sz="8" w:space="0" w:color="FFC629" w:themeColor="accent4"/>
          <w:right w:val="single" w:sz="8" w:space="0" w:color="FFC629" w:themeColor="accent4"/>
          <w:insideV w:val="single" w:sz="8" w:space="0" w:color="FFC629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6B00" w:themeColor="accent5"/>
        <w:left w:val="single" w:sz="8" w:space="0" w:color="FF6B00" w:themeColor="accent5"/>
        <w:bottom w:val="single" w:sz="8" w:space="0" w:color="FF6B00" w:themeColor="accent5"/>
        <w:right w:val="single" w:sz="8" w:space="0" w:color="FF6B00" w:themeColor="accent5"/>
        <w:insideH w:val="single" w:sz="8" w:space="0" w:color="FF6B00" w:themeColor="accent5"/>
        <w:insideV w:val="single" w:sz="8" w:space="0" w:color="FF6B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B00" w:themeColor="accent5"/>
          <w:left w:val="single" w:sz="8" w:space="0" w:color="FF6B00" w:themeColor="accent5"/>
          <w:bottom w:val="single" w:sz="18" w:space="0" w:color="FF6B00" w:themeColor="accent5"/>
          <w:right w:val="single" w:sz="8" w:space="0" w:color="FF6B00" w:themeColor="accent5"/>
          <w:insideH w:val="nil"/>
          <w:insideV w:val="single" w:sz="8" w:space="0" w:color="FF6B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B00" w:themeColor="accent5"/>
          <w:left w:val="single" w:sz="8" w:space="0" w:color="FF6B00" w:themeColor="accent5"/>
          <w:bottom w:val="single" w:sz="8" w:space="0" w:color="FF6B00" w:themeColor="accent5"/>
          <w:right w:val="single" w:sz="8" w:space="0" w:color="FF6B00" w:themeColor="accent5"/>
          <w:insideH w:val="nil"/>
          <w:insideV w:val="single" w:sz="8" w:space="0" w:color="FF6B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B00" w:themeColor="accent5"/>
          <w:left w:val="single" w:sz="8" w:space="0" w:color="FF6B00" w:themeColor="accent5"/>
          <w:bottom w:val="single" w:sz="8" w:space="0" w:color="FF6B00" w:themeColor="accent5"/>
          <w:right w:val="single" w:sz="8" w:space="0" w:color="FF6B00" w:themeColor="accent5"/>
        </w:tcBorders>
      </w:tcPr>
    </w:tblStylePr>
    <w:tblStylePr w:type="band1Vert">
      <w:tblPr/>
      <w:tcPr>
        <w:tcBorders>
          <w:top w:val="single" w:sz="8" w:space="0" w:color="FF6B00" w:themeColor="accent5"/>
          <w:left w:val="single" w:sz="8" w:space="0" w:color="FF6B00" w:themeColor="accent5"/>
          <w:bottom w:val="single" w:sz="8" w:space="0" w:color="FF6B00" w:themeColor="accent5"/>
          <w:right w:val="single" w:sz="8" w:space="0" w:color="FF6B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B00" w:themeColor="accent5"/>
          <w:left w:val="single" w:sz="8" w:space="0" w:color="FF6B00" w:themeColor="accent5"/>
          <w:bottom w:val="single" w:sz="8" w:space="0" w:color="FF6B00" w:themeColor="accent5"/>
          <w:right w:val="single" w:sz="8" w:space="0" w:color="FF6B00" w:themeColor="accent5"/>
          <w:insideV w:val="single" w:sz="8" w:space="0" w:color="FF6B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B00" w:themeColor="accent5"/>
          <w:left w:val="single" w:sz="8" w:space="0" w:color="FF6B00" w:themeColor="accent5"/>
          <w:bottom w:val="single" w:sz="8" w:space="0" w:color="FF6B00" w:themeColor="accent5"/>
          <w:right w:val="single" w:sz="8" w:space="0" w:color="FF6B00" w:themeColor="accent5"/>
          <w:insideV w:val="single" w:sz="8" w:space="0" w:color="FF6B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4565A" w:themeColor="accent6"/>
        <w:left w:val="single" w:sz="8" w:space="0" w:color="54565A" w:themeColor="accent6"/>
        <w:bottom w:val="single" w:sz="8" w:space="0" w:color="54565A" w:themeColor="accent6"/>
        <w:right w:val="single" w:sz="8" w:space="0" w:color="54565A" w:themeColor="accent6"/>
        <w:insideH w:val="single" w:sz="8" w:space="0" w:color="54565A" w:themeColor="accent6"/>
        <w:insideV w:val="single" w:sz="8" w:space="0" w:color="54565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565A" w:themeColor="accent6"/>
          <w:left w:val="single" w:sz="8" w:space="0" w:color="54565A" w:themeColor="accent6"/>
          <w:bottom w:val="single" w:sz="18" w:space="0" w:color="54565A" w:themeColor="accent6"/>
          <w:right w:val="single" w:sz="8" w:space="0" w:color="54565A" w:themeColor="accent6"/>
          <w:insideH w:val="nil"/>
          <w:insideV w:val="single" w:sz="8" w:space="0" w:color="54565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4565A" w:themeColor="accent6"/>
          <w:left w:val="single" w:sz="8" w:space="0" w:color="54565A" w:themeColor="accent6"/>
          <w:bottom w:val="single" w:sz="8" w:space="0" w:color="54565A" w:themeColor="accent6"/>
          <w:right w:val="single" w:sz="8" w:space="0" w:color="54565A" w:themeColor="accent6"/>
          <w:insideH w:val="nil"/>
          <w:insideV w:val="single" w:sz="8" w:space="0" w:color="54565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4565A" w:themeColor="accent6"/>
          <w:left w:val="single" w:sz="8" w:space="0" w:color="54565A" w:themeColor="accent6"/>
          <w:bottom w:val="single" w:sz="8" w:space="0" w:color="54565A" w:themeColor="accent6"/>
          <w:right w:val="single" w:sz="8" w:space="0" w:color="54565A" w:themeColor="accent6"/>
        </w:tcBorders>
      </w:tcPr>
    </w:tblStylePr>
    <w:tblStylePr w:type="band1Vert">
      <w:tblPr/>
      <w:tcPr>
        <w:tcBorders>
          <w:top w:val="single" w:sz="8" w:space="0" w:color="54565A" w:themeColor="accent6"/>
          <w:left w:val="single" w:sz="8" w:space="0" w:color="54565A" w:themeColor="accent6"/>
          <w:bottom w:val="single" w:sz="8" w:space="0" w:color="54565A" w:themeColor="accent6"/>
          <w:right w:val="single" w:sz="8" w:space="0" w:color="54565A" w:themeColor="accent6"/>
        </w:tcBorders>
        <w:shd w:val="clear" w:color="auto" w:fill="D3D4D6" w:themeFill="accent6" w:themeFillTint="3F"/>
      </w:tcPr>
    </w:tblStylePr>
    <w:tblStylePr w:type="band1Horz">
      <w:tblPr/>
      <w:tcPr>
        <w:tcBorders>
          <w:top w:val="single" w:sz="8" w:space="0" w:color="54565A" w:themeColor="accent6"/>
          <w:left w:val="single" w:sz="8" w:space="0" w:color="54565A" w:themeColor="accent6"/>
          <w:bottom w:val="single" w:sz="8" w:space="0" w:color="54565A" w:themeColor="accent6"/>
          <w:right w:val="single" w:sz="8" w:space="0" w:color="54565A" w:themeColor="accent6"/>
          <w:insideV w:val="single" w:sz="8" w:space="0" w:color="54565A" w:themeColor="accent6"/>
        </w:tcBorders>
        <w:shd w:val="clear" w:color="auto" w:fill="D3D4D6" w:themeFill="accent6" w:themeFillTint="3F"/>
      </w:tcPr>
    </w:tblStylePr>
    <w:tblStylePr w:type="band2Horz">
      <w:tblPr/>
      <w:tcPr>
        <w:tcBorders>
          <w:top w:val="single" w:sz="8" w:space="0" w:color="54565A" w:themeColor="accent6"/>
          <w:left w:val="single" w:sz="8" w:space="0" w:color="54565A" w:themeColor="accent6"/>
          <w:bottom w:val="single" w:sz="8" w:space="0" w:color="54565A" w:themeColor="accent6"/>
          <w:right w:val="single" w:sz="8" w:space="0" w:color="54565A" w:themeColor="accent6"/>
          <w:insideV w:val="single" w:sz="8" w:space="0" w:color="54565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7E2FF" w:themeColor="accent1" w:themeTint="BF"/>
        <w:left w:val="single" w:sz="8" w:space="0" w:color="27E2FF" w:themeColor="accent1" w:themeTint="BF"/>
        <w:bottom w:val="single" w:sz="8" w:space="0" w:color="27E2FF" w:themeColor="accent1" w:themeTint="BF"/>
        <w:right w:val="single" w:sz="8" w:space="0" w:color="27E2FF" w:themeColor="accent1" w:themeTint="BF"/>
        <w:insideH w:val="single" w:sz="8" w:space="0" w:color="27E2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7E2FF" w:themeColor="accent1" w:themeTint="BF"/>
          <w:left w:val="single" w:sz="8" w:space="0" w:color="27E2FF" w:themeColor="accent1" w:themeTint="BF"/>
          <w:bottom w:val="single" w:sz="8" w:space="0" w:color="27E2FF" w:themeColor="accent1" w:themeTint="BF"/>
          <w:right w:val="single" w:sz="8" w:space="0" w:color="27E2FF" w:themeColor="accent1" w:themeTint="BF"/>
          <w:insideH w:val="nil"/>
          <w:insideV w:val="nil"/>
        </w:tcBorders>
        <w:shd w:val="clear" w:color="auto" w:fill="00C1D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E2FF" w:themeColor="accent1" w:themeTint="BF"/>
          <w:left w:val="single" w:sz="8" w:space="0" w:color="27E2FF" w:themeColor="accent1" w:themeTint="BF"/>
          <w:bottom w:val="single" w:sz="8" w:space="0" w:color="27E2FF" w:themeColor="accent1" w:themeTint="BF"/>
          <w:right w:val="single" w:sz="8" w:space="0" w:color="27E2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F5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BEFB" w:themeColor="accent2" w:themeTint="BF"/>
        <w:left w:val="single" w:sz="8" w:space="0" w:color="00BEFB" w:themeColor="accent2" w:themeTint="BF"/>
        <w:bottom w:val="single" w:sz="8" w:space="0" w:color="00BEFB" w:themeColor="accent2" w:themeTint="BF"/>
        <w:right w:val="single" w:sz="8" w:space="0" w:color="00BEFB" w:themeColor="accent2" w:themeTint="BF"/>
        <w:insideH w:val="single" w:sz="8" w:space="0" w:color="00BEF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FB" w:themeColor="accent2" w:themeTint="BF"/>
          <w:left w:val="single" w:sz="8" w:space="0" w:color="00BEFB" w:themeColor="accent2" w:themeTint="BF"/>
          <w:bottom w:val="single" w:sz="8" w:space="0" w:color="00BEFB" w:themeColor="accent2" w:themeTint="BF"/>
          <w:right w:val="single" w:sz="8" w:space="0" w:color="00BEFB" w:themeColor="accent2" w:themeTint="BF"/>
          <w:insideH w:val="nil"/>
          <w:insideV w:val="nil"/>
        </w:tcBorders>
        <w:shd w:val="clear" w:color="auto" w:fill="007DA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FB" w:themeColor="accent2" w:themeTint="BF"/>
          <w:left w:val="single" w:sz="8" w:space="0" w:color="00BEFB" w:themeColor="accent2" w:themeTint="BF"/>
          <w:bottom w:val="single" w:sz="8" w:space="0" w:color="00BEFB" w:themeColor="accent2" w:themeTint="BF"/>
          <w:right w:val="single" w:sz="8" w:space="0" w:color="00BEF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EA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EA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9DE46" w:themeColor="accent3" w:themeTint="BF"/>
        <w:left w:val="single" w:sz="8" w:space="0" w:color="99DE46" w:themeColor="accent3" w:themeTint="BF"/>
        <w:bottom w:val="single" w:sz="8" w:space="0" w:color="99DE46" w:themeColor="accent3" w:themeTint="BF"/>
        <w:right w:val="single" w:sz="8" w:space="0" w:color="99DE46" w:themeColor="accent3" w:themeTint="BF"/>
        <w:insideH w:val="single" w:sz="8" w:space="0" w:color="99DE4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9DE46" w:themeColor="accent3" w:themeTint="BF"/>
          <w:left w:val="single" w:sz="8" w:space="0" w:color="99DE46" w:themeColor="accent3" w:themeTint="BF"/>
          <w:bottom w:val="single" w:sz="8" w:space="0" w:color="99DE46" w:themeColor="accent3" w:themeTint="BF"/>
          <w:right w:val="single" w:sz="8" w:space="0" w:color="99DE46" w:themeColor="accent3" w:themeTint="BF"/>
          <w:insideH w:val="nil"/>
          <w:insideV w:val="nil"/>
        </w:tcBorders>
        <w:shd w:val="clear" w:color="auto" w:fill="76BC2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DE46" w:themeColor="accent3" w:themeTint="BF"/>
          <w:left w:val="single" w:sz="8" w:space="0" w:color="99DE46" w:themeColor="accent3" w:themeTint="BF"/>
          <w:bottom w:val="single" w:sz="8" w:space="0" w:color="99DE46" w:themeColor="accent3" w:themeTint="BF"/>
          <w:right w:val="single" w:sz="8" w:space="0" w:color="99DE4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4C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F4C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D45E" w:themeColor="accent4" w:themeTint="BF"/>
        <w:left w:val="single" w:sz="8" w:space="0" w:color="FFD45E" w:themeColor="accent4" w:themeTint="BF"/>
        <w:bottom w:val="single" w:sz="8" w:space="0" w:color="FFD45E" w:themeColor="accent4" w:themeTint="BF"/>
        <w:right w:val="single" w:sz="8" w:space="0" w:color="FFD45E" w:themeColor="accent4" w:themeTint="BF"/>
        <w:insideH w:val="single" w:sz="8" w:space="0" w:color="FFD45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D45E" w:themeColor="accent4" w:themeTint="BF"/>
          <w:left w:val="single" w:sz="8" w:space="0" w:color="FFD45E" w:themeColor="accent4" w:themeTint="BF"/>
          <w:bottom w:val="single" w:sz="8" w:space="0" w:color="FFD45E" w:themeColor="accent4" w:themeTint="BF"/>
          <w:right w:val="single" w:sz="8" w:space="0" w:color="FFD45E" w:themeColor="accent4" w:themeTint="BF"/>
          <w:insideH w:val="nil"/>
          <w:insideV w:val="nil"/>
        </w:tcBorders>
        <w:shd w:val="clear" w:color="auto" w:fill="FFC62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45E" w:themeColor="accent4" w:themeTint="BF"/>
          <w:left w:val="single" w:sz="8" w:space="0" w:color="FFD45E" w:themeColor="accent4" w:themeTint="BF"/>
          <w:bottom w:val="single" w:sz="8" w:space="0" w:color="FFD45E" w:themeColor="accent4" w:themeTint="BF"/>
          <w:right w:val="single" w:sz="8" w:space="0" w:color="FFD45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C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0C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B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C7F85" w:themeColor="accent6" w:themeTint="BF"/>
        <w:left w:val="single" w:sz="8" w:space="0" w:color="7C7F85" w:themeColor="accent6" w:themeTint="BF"/>
        <w:bottom w:val="single" w:sz="8" w:space="0" w:color="7C7F85" w:themeColor="accent6" w:themeTint="BF"/>
        <w:right w:val="single" w:sz="8" w:space="0" w:color="7C7F85" w:themeColor="accent6" w:themeTint="BF"/>
        <w:insideH w:val="single" w:sz="8" w:space="0" w:color="7C7F8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C7F85" w:themeColor="accent6" w:themeTint="BF"/>
          <w:left w:val="single" w:sz="8" w:space="0" w:color="7C7F85" w:themeColor="accent6" w:themeTint="BF"/>
          <w:bottom w:val="single" w:sz="8" w:space="0" w:color="7C7F85" w:themeColor="accent6" w:themeTint="BF"/>
          <w:right w:val="single" w:sz="8" w:space="0" w:color="7C7F85" w:themeColor="accent6" w:themeTint="BF"/>
          <w:insideH w:val="nil"/>
          <w:insideV w:val="nil"/>
        </w:tcBorders>
        <w:shd w:val="clear" w:color="auto" w:fill="54565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7F85" w:themeColor="accent6" w:themeTint="BF"/>
          <w:left w:val="single" w:sz="8" w:space="0" w:color="7C7F85" w:themeColor="accent6" w:themeTint="BF"/>
          <w:bottom w:val="single" w:sz="8" w:space="0" w:color="7C7F85" w:themeColor="accent6" w:themeTint="BF"/>
          <w:right w:val="single" w:sz="8" w:space="0" w:color="7C7F8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4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4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C1D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C1D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C1D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DA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DA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DA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BC2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BC2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BC2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2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62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62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B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B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B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565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4565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4565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C1DE" w:themeColor="accent1"/>
        <w:bottom w:val="single" w:sz="8" w:space="0" w:color="00C1D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C1DE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C1DE" w:themeColor="accent1"/>
          <w:bottom w:val="single" w:sz="8" w:space="0" w:color="00C1D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C1DE" w:themeColor="accent1"/>
          <w:bottom w:val="single" w:sz="8" w:space="0" w:color="00C1DE" w:themeColor="accent1"/>
        </w:tcBorders>
      </w:tcPr>
    </w:tblStylePr>
    <w:tblStylePr w:type="band1Vert">
      <w:tblPr/>
      <w:tcPr>
        <w:shd w:val="clear" w:color="auto" w:fill="B7F5FF" w:themeFill="accent1" w:themeFillTint="3F"/>
      </w:tcPr>
    </w:tblStylePr>
    <w:tblStylePr w:type="band1Horz">
      <w:tblPr/>
      <w:tcPr>
        <w:shd w:val="clear" w:color="auto" w:fill="B7F5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DA5" w:themeColor="accent2"/>
        <w:bottom w:val="single" w:sz="8" w:space="0" w:color="007DA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DA5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7DA5" w:themeColor="accent2"/>
          <w:bottom w:val="single" w:sz="8" w:space="0" w:color="007DA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DA5" w:themeColor="accent2"/>
          <w:bottom w:val="single" w:sz="8" w:space="0" w:color="007DA5" w:themeColor="accent2"/>
        </w:tcBorders>
      </w:tcPr>
    </w:tblStylePr>
    <w:tblStylePr w:type="band1Vert">
      <w:tblPr/>
      <w:tcPr>
        <w:shd w:val="clear" w:color="auto" w:fill="A9EAFF" w:themeFill="accent2" w:themeFillTint="3F"/>
      </w:tcPr>
    </w:tblStylePr>
    <w:tblStylePr w:type="band1Horz">
      <w:tblPr/>
      <w:tcPr>
        <w:shd w:val="clear" w:color="auto" w:fill="A9EA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6BC21" w:themeColor="accent3"/>
        <w:bottom w:val="single" w:sz="8" w:space="0" w:color="76BC2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BC21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76BC21" w:themeColor="accent3"/>
          <w:bottom w:val="single" w:sz="8" w:space="0" w:color="76BC2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BC21" w:themeColor="accent3"/>
          <w:bottom w:val="single" w:sz="8" w:space="0" w:color="76BC21" w:themeColor="accent3"/>
        </w:tcBorders>
      </w:tcPr>
    </w:tblStylePr>
    <w:tblStylePr w:type="band1Vert">
      <w:tblPr/>
      <w:tcPr>
        <w:shd w:val="clear" w:color="auto" w:fill="DDF4C2" w:themeFill="accent3" w:themeFillTint="3F"/>
      </w:tcPr>
    </w:tblStylePr>
    <w:tblStylePr w:type="band1Horz">
      <w:tblPr/>
      <w:tcPr>
        <w:shd w:val="clear" w:color="auto" w:fill="DDF4C2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629" w:themeColor="accent4"/>
        <w:bottom w:val="single" w:sz="8" w:space="0" w:color="FFC62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629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FC629" w:themeColor="accent4"/>
          <w:bottom w:val="single" w:sz="8" w:space="0" w:color="FFC62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629" w:themeColor="accent4"/>
          <w:bottom w:val="single" w:sz="8" w:space="0" w:color="FFC629" w:themeColor="accent4"/>
        </w:tcBorders>
      </w:tcPr>
    </w:tblStylePr>
    <w:tblStylePr w:type="band1Vert">
      <w:tblPr/>
      <w:tcPr>
        <w:shd w:val="clear" w:color="auto" w:fill="FFF0CA" w:themeFill="accent4" w:themeFillTint="3F"/>
      </w:tcPr>
    </w:tblStylePr>
    <w:tblStylePr w:type="band1Horz">
      <w:tblPr/>
      <w:tcPr>
        <w:shd w:val="clear" w:color="auto" w:fill="FFF0C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B00" w:themeColor="accent5"/>
        <w:bottom w:val="single" w:sz="8" w:space="0" w:color="FF6B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B00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F6B00" w:themeColor="accent5"/>
          <w:bottom w:val="single" w:sz="8" w:space="0" w:color="FF6B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B00" w:themeColor="accent5"/>
          <w:bottom w:val="single" w:sz="8" w:space="0" w:color="FF6B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4565A" w:themeColor="accent6"/>
        <w:bottom w:val="single" w:sz="8" w:space="0" w:color="54565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4565A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54565A" w:themeColor="accent6"/>
          <w:bottom w:val="single" w:sz="8" w:space="0" w:color="54565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4565A" w:themeColor="accent6"/>
          <w:bottom w:val="single" w:sz="8" w:space="0" w:color="54565A" w:themeColor="accent6"/>
        </w:tcBorders>
      </w:tcPr>
    </w:tblStylePr>
    <w:tblStylePr w:type="band1Vert">
      <w:tblPr/>
      <w:tcPr>
        <w:shd w:val="clear" w:color="auto" w:fill="D3D4D6" w:themeFill="accent6" w:themeFillTint="3F"/>
      </w:tcPr>
    </w:tblStylePr>
    <w:tblStylePr w:type="band1Horz">
      <w:tblPr/>
      <w:tcPr>
        <w:shd w:val="clear" w:color="auto" w:fill="D3D4D6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C1DE" w:themeColor="accent1"/>
        <w:left w:val="single" w:sz="8" w:space="0" w:color="00C1DE" w:themeColor="accent1"/>
        <w:bottom w:val="single" w:sz="8" w:space="0" w:color="00C1DE" w:themeColor="accent1"/>
        <w:right w:val="single" w:sz="8" w:space="0" w:color="00C1D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C1D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C1D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C1D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C1D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F5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F5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DA5" w:themeColor="accent2"/>
        <w:left w:val="single" w:sz="8" w:space="0" w:color="007DA5" w:themeColor="accent2"/>
        <w:bottom w:val="single" w:sz="8" w:space="0" w:color="007DA5" w:themeColor="accent2"/>
        <w:right w:val="single" w:sz="8" w:space="0" w:color="007DA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DA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DA5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DA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DA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EA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EA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6BC21" w:themeColor="accent3"/>
        <w:left w:val="single" w:sz="8" w:space="0" w:color="76BC21" w:themeColor="accent3"/>
        <w:bottom w:val="single" w:sz="8" w:space="0" w:color="76BC21" w:themeColor="accent3"/>
        <w:right w:val="single" w:sz="8" w:space="0" w:color="76BC2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BC2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BC2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BC2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BC2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F4C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F4C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629" w:themeColor="accent4"/>
        <w:left w:val="single" w:sz="8" w:space="0" w:color="FFC629" w:themeColor="accent4"/>
        <w:bottom w:val="single" w:sz="8" w:space="0" w:color="FFC629" w:themeColor="accent4"/>
        <w:right w:val="single" w:sz="8" w:space="0" w:color="FFC62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62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62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62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62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0C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0C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B00" w:themeColor="accent5"/>
        <w:left w:val="single" w:sz="8" w:space="0" w:color="FF6B00" w:themeColor="accent5"/>
        <w:bottom w:val="single" w:sz="8" w:space="0" w:color="FF6B00" w:themeColor="accent5"/>
        <w:right w:val="single" w:sz="8" w:space="0" w:color="FF6B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B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6B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B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B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565A" w:themeColor="accent6"/>
        <w:left w:val="single" w:sz="8" w:space="0" w:color="54565A" w:themeColor="accent6"/>
        <w:bottom w:val="single" w:sz="8" w:space="0" w:color="54565A" w:themeColor="accent6"/>
        <w:right w:val="single" w:sz="8" w:space="0" w:color="54565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4565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4565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4565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4565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4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4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7E2FF" w:themeColor="accent1" w:themeTint="BF"/>
        <w:left w:val="single" w:sz="8" w:space="0" w:color="27E2FF" w:themeColor="accent1" w:themeTint="BF"/>
        <w:bottom w:val="single" w:sz="8" w:space="0" w:color="27E2FF" w:themeColor="accent1" w:themeTint="BF"/>
        <w:right w:val="single" w:sz="8" w:space="0" w:color="27E2FF" w:themeColor="accent1" w:themeTint="BF"/>
        <w:insideH w:val="single" w:sz="8" w:space="0" w:color="27E2FF" w:themeColor="accent1" w:themeTint="BF"/>
        <w:insideV w:val="single" w:sz="8" w:space="0" w:color="27E2FF" w:themeColor="accent1" w:themeTint="BF"/>
      </w:tblBorders>
    </w:tblPr>
    <w:tcPr>
      <w:shd w:val="clear" w:color="auto" w:fill="B7F5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7E2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EBFF" w:themeFill="accent1" w:themeFillTint="7F"/>
      </w:tcPr>
    </w:tblStylePr>
    <w:tblStylePr w:type="band1Horz">
      <w:tblPr/>
      <w:tcPr>
        <w:shd w:val="clear" w:color="auto" w:fill="6FEB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BEFB" w:themeColor="accent2" w:themeTint="BF"/>
        <w:left w:val="single" w:sz="8" w:space="0" w:color="00BEFB" w:themeColor="accent2" w:themeTint="BF"/>
        <w:bottom w:val="single" w:sz="8" w:space="0" w:color="00BEFB" w:themeColor="accent2" w:themeTint="BF"/>
        <w:right w:val="single" w:sz="8" w:space="0" w:color="00BEFB" w:themeColor="accent2" w:themeTint="BF"/>
        <w:insideH w:val="single" w:sz="8" w:space="0" w:color="00BEFB" w:themeColor="accent2" w:themeTint="BF"/>
        <w:insideV w:val="single" w:sz="8" w:space="0" w:color="00BEFB" w:themeColor="accent2" w:themeTint="BF"/>
      </w:tblBorders>
    </w:tblPr>
    <w:tcPr>
      <w:shd w:val="clear" w:color="auto" w:fill="A9EA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F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3D5FF" w:themeFill="accent2" w:themeFillTint="7F"/>
      </w:tcPr>
    </w:tblStylePr>
    <w:tblStylePr w:type="band1Horz">
      <w:tblPr/>
      <w:tcPr>
        <w:shd w:val="clear" w:color="auto" w:fill="53D5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9DE46" w:themeColor="accent3" w:themeTint="BF"/>
        <w:left w:val="single" w:sz="8" w:space="0" w:color="99DE46" w:themeColor="accent3" w:themeTint="BF"/>
        <w:bottom w:val="single" w:sz="8" w:space="0" w:color="99DE46" w:themeColor="accent3" w:themeTint="BF"/>
        <w:right w:val="single" w:sz="8" w:space="0" w:color="99DE46" w:themeColor="accent3" w:themeTint="BF"/>
        <w:insideH w:val="single" w:sz="8" w:space="0" w:color="99DE46" w:themeColor="accent3" w:themeTint="BF"/>
        <w:insideV w:val="single" w:sz="8" w:space="0" w:color="99DE46" w:themeColor="accent3" w:themeTint="BF"/>
      </w:tblBorders>
    </w:tblPr>
    <w:tcPr>
      <w:shd w:val="clear" w:color="auto" w:fill="DDF4C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9DE4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984" w:themeFill="accent3" w:themeFillTint="7F"/>
      </w:tcPr>
    </w:tblStylePr>
    <w:tblStylePr w:type="band1Horz">
      <w:tblPr/>
      <w:tcPr>
        <w:shd w:val="clear" w:color="auto" w:fill="BBE984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D45E" w:themeColor="accent4" w:themeTint="BF"/>
        <w:left w:val="single" w:sz="8" w:space="0" w:color="FFD45E" w:themeColor="accent4" w:themeTint="BF"/>
        <w:bottom w:val="single" w:sz="8" w:space="0" w:color="FFD45E" w:themeColor="accent4" w:themeTint="BF"/>
        <w:right w:val="single" w:sz="8" w:space="0" w:color="FFD45E" w:themeColor="accent4" w:themeTint="BF"/>
        <w:insideH w:val="single" w:sz="8" w:space="0" w:color="FFD45E" w:themeColor="accent4" w:themeTint="BF"/>
        <w:insideV w:val="single" w:sz="8" w:space="0" w:color="FFD45E" w:themeColor="accent4" w:themeTint="BF"/>
      </w:tblBorders>
    </w:tblPr>
    <w:tcPr>
      <w:shd w:val="clear" w:color="auto" w:fill="FFF0C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D45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94" w:themeFill="accent4" w:themeFillTint="7F"/>
      </w:tcPr>
    </w:tblStylePr>
    <w:tblStylePr w:type="band1Horz">
      <w:tblPr/>
      <w:tcPr>
        <w:shd w:val="clear" w:color="auto" w:fill="FFE294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C7F85" w:themeColor="accent6" w:themeTint="BF"/>
        <w:left w:val="single" w:sz="8" w:space="0" w:color="7C7F85" w:themeColor="accent6" w:themeTint="BF"/>
        <w:bottom w:val="single" w:sz="8" w:space="0" w:color="7C7F85" w:themeColor="accent6" w:themeTint="BF"/>
        <w:right w:val="single" w:sz="8" w:space="0" w:color="7C7F85" w:themeColor="accent6" w:themeTint="BF"/>
        <w:insideH w:val="single" w:sz="8" w:space="0" w:color="7C7F85" w:themeColor="accent6" w:themeTint="BF"/>
        <w:insideV w:val="single" w:sz="8" w:space="0" w:color="7C7F85" w:themeColor="accent6" w:themeTint="BF"/>
      </w:tblBorders>
    </w:tblPr>
    <w:tcPr>
      <w:shd w:val="clear" w:color="auto" w:fill="D3D4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C7F8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AAAE" w:themeFill="accent6" w:themeFillTint="7F"/>
      </w:tcPr>
    </w:tblStylePr>
    <w:tblStylePr w:type="band1Horz">
      <w:tblPr/>
      <w:tcPr>
        <w:shd w:val="clear" w:color="auto" w:fill="A8AAAE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C1DE" w:themeColor="accent1"/>
        <w:left w:val="single" w:sz="8" w:space="0" w:color="00C1DE" w:themeColor="accent1"/>
        <w:bottom w:val="single" w:sz="8" w:space="0" w:color="00C1DE" w:themeColor="accent1"/>
        <w:right w:val="single" w:sz="8" w:space="0" w:color="00C1DE" w:themeColor="accent1"/>
        <w:insideH w:val="single" w:sz="8" w:space="0" w:color="00C1DE" w:themeColor="accent1"/>
        <w:insideV w:val="single" w:sz="8" w:space="0" w:color="00C1DE" w:themeColor="accent1"/>
      </w:tblBorders>
    </w:tblPr>
    <w:tcPr>
      <w:shd w:val="clear" w:color="auto" w:fill="B7F5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B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7FF" w:themeFill="accent1" w:themeFillTint="33"/>
      </w:tcPr>
    </w:tblStylePr>
    <w:tblStylePr w:type="band1Vert">
      <w:tblPr/>
      <w:tcPr>
        <w:shd w:val="clear" w:color="auto" w:fill="6FEBFF" w:themeFill="accent1" w:themeFillTint="7F"/>
      </w:tcPr>
    </w:tblStylePr>
    <w:tblStylePr w:type="band1Horz">
      <w:tblPr/>
      <w:tcPr>
        <w:tcBorders>
          <w:insideH w:val="single" w:sz="6" w:space="0" w:color="00C1DE" w:themeColor="accent1"/>
          <w:insideV w:val="single" w:sz="6" w:space="0" w:color="00C1DE" w:themeColor="accent1"/>
        </w:tcBorders>
        <w:shd w:val="clear" w:color="auto" w:fill="6FEB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DA5" w:themeColor="accent2"/>
        <w:left w:val="single" w:sz="8" w:space="0" w:color="007DA5" w:themeColor="accent2"/>
        <w:bottom w:val="single" w:sz="8" w:space="0" w:color="007DA5" w:themeColor="accent2"/>
        <w:right w:val="single" w:sz="8" w:space="0" w:color="007DA5" w:themeColor="accent2"/>
        <w:insideH w:val="single" w:sz="8" w:space="0" w:color="007DA5" w:themeColor="accent2"/>
        <w:insideV w:val="single" w:sz="8" w:space="0" w:color="007DA5" w:themeColor="accent2"/>
      </w:tblBorders>
    </w:tblPr>
    <w:tcPr>
      <w:shd w:val="clear" w:color="auto" w:fill="A9EA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EEFF" w:themeFill="accent2" w:themeFillTint="33"/>
      </w:tcPr>
    </w:tblStylePr>
    <w:tblStylePr w:type="band1Vert">
      <w:tblPr/>
      <w:tcPr>
        <w:shd w:val="clear" w:color="auto" w:fill="53D5FF" w:themeFill="accent2" w:themeFillTint="7F"/>
      </w:tcPr>
    </w:tblStylePr>
    <w:tblStylePr w:type="band1Horz">
      <w:tblPr/>
      <w:tcPr>
        <w:tcBorders>
          <w:insideH w:val="single" w:sz="6" w:space="0" w:color="007DA5" w:themeColor="accent2"/>
          <w:insideV w:val="single" w:sz="6" w:space="0" w:color="007DA5" w:themeColor="accent2"/>
        </w:tcBorders>
        <w:shd w:val="clear" w:color="auto" w:fill="53D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6BC21" w:themeColor="accent3"/>
        <w:left w:val="single" w:sz="8" w:space="0" w:color="76BC21" w:themeColor="accent3"/>
        <w:bottom w:val="single" w:sz="8" w:space="0" w:color="76BC21" w:themeColor="accent3"/>
        <w:right w:val="single" w:sz="8" w:space="0" w:color="76BC21" w:themeColor="accent3"/>
        <w:insideH w:val="single" w:sz="8" w:space="0" w:color="76BC21" w:themeColor="accent3"/>
        <w:insideV w:val="single" w:sz="8" w:space="0" w:color="76BC21" w:themeColor="accent3"/>
      </w:tblBorders>
    </w:tblPr>
    <w:tcPr>
      <w:shd w:val="clear" w:color="auto" w:fill="DDF4C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A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6CD" w:themeFill="accent3" w:themeFillTint="33"/>
      </w:tcPr>
    </w:tblStylePr>
    <w:tblStylePr w:type="band1Vert">
      <w:tblPr/>
      <w:tcPr>
        <w:shd w:val="clear" w:color="auto" w:fill="BBE984" w:themeFill="accent3" w:themeFillTint="7F"/>
      </w:tcPr>
    </w:tblStylePr>
    <w:tblStylePr w:type="band1Horz">
      <w:tblPr/>
      <w:tcPr>
        <w:tcBorders>
          <w:insideH w:val="single" w:sz="6" w:space="0" w:color="76BC21" w:themeColor="accent3"/>
          <w:insideV w:val="single" w:sz="6" w:space="0" w:color="76BC21" w:themeColor="accent3"/>
        </w:tcBorders>
        <w:shd w:val="clear" w:color="auto" w:fill="BBE98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629" w:themeColor="accent4"/>
        <w:left w:val="single" w:sz="8" w:space="0" w:color="FFC629" w:themeColor="accent4"/>
        <w:bottom w:val="single" w:sz="8" w:space="0" w:color="FFC629" w:themeColor="accent4"/>
        <w:right w:val="single" w:sz="8" w:space="0" w:color="FFC629" w:themeColor="accent4"/>
        <w:insideH w:val="single" w:sz="8" w:space="0" w:color="FFC629" w:themeColor="accent4"/>
        <w:insideV w:val="single" w:sz="8" w:space="0" w:color="FFC629" w:themeColor="accent4"/>
      </w:tblBorders>
    </w:tblPr>
    <w:tcPr>
      <w:shd w:val="clear" w:color="auto" w:fill="FFF0C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3D4" w:themeFill="accent4" w:themeFillTint="33"/>
      </w:tcPr>
    </w:tblStylePr>
    <w:tblStylePr w:type="band1Vert">
      <w:tblPr/>
      <w:tcPr>
        <w:shd w:val="clear" w:color="auto" w:fill="FFE294" w:themeFill="accent4" w:themeFillTint="7F"/>
      </w:tcPr>
    </w:tblStylePr>
    <w:tblStylePr w:type="band1Horz">
      <w:tblPr/>
      <w:tcPr>
        <w:tcBorders>
          <w:insideH w:val="single" w:sz="6" w:space="0" w:color="FFC629" w:themeColor="accent4"/>
          <w:insideV w:val="single" w:sz="6" w:space="0" w:color="FFC629" w:themeColor="accent4"/>
        </w:tcBorders>
        <w:shd w:val="clear" w:color="auto" w:fill="FFE29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B00" w:themeColor="accent5"/>
        <w:left w:val="single" w:sz="8" w:space="0" w:color="FF6B00" w:themeColor="accent5"/>
        <w:bottom w:val="single" w:sz="8" w:space="0" w:color="FF6B00" w:themeColor="accent5"/>
        <w:right w:val="single" w:sz="8" w:space="0" w:color="FF6B00" w:themeColor="accent5"/>
        <w:insideH w:val="single" w:sz="8" w:space="0" w:color="FF6B00" w:themeColor="accent5"/>
        <w:insideV w:val="single" w:sz="8" w:space="0" w:color="FF6B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B00" w:themeColor="accent5"/>
          <w:insideV w:val="single" w:sz="6" w:space="0" w:color="FF6B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4565A" w:themeColor="accent6"/>
        <w:left w:val="single" w:sz="8" w:space="0" w:color="54565A" w:themeColor="accent6"/>
        <w:bottom w:val="single" w:sz="8" w:space="0" w:color="54565A" w:themeColor="accent6"/>
        <w:right w:val="single" w:sz="8" w:space="0" w:color="54565A" w:themeColor="accent6"/>
        <w:insideH w:val="single" w:sz="8" w:space="0" w:color="54565A" w:themeColor="accent6"/>
        <w:insideV w:val="single" w:sz="8" w:space="0" w:color="54565A" w:themeColor="accent6"/>
      </w:tblBorders>
    </w:tblPr>
    <w:tcPr>
      <w:shd w:val="clear" w:color="auto" w:fill="D3D4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E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CDE" w:themeFill="accent6" w:themeFillTint="33"/>
      </w:tcPr>
    </w:tblStylePr>
    <w:tblStylePr w:type="band1Vert">
      <w:tblPr/>
      <w:tcPr>
        <w:shd w:val="clear" w:color="auto" w:fill="A8AAAE" w:themeFill="accent6" w:themeFillTint="7F"/>
      </w:tcPr>
    </w:tblStylePr>
    <w:tblStylePr w:type="band1Horz">
      <w:tblPr/>
      <w:tcPr>
        <w:tcBorders>
          <w:insideH w:val="single" w:sz="6" w:space="0" w:color="54565A" w:themeColor="accent6"/>
          <w:insideV w:val="single" w:sz="6" w:space="0" w:color="54565A" w:themeColor="accent6"/>
        </w:tcBorders>
        <w:shd w:val="clear" w:color="auto" w:fill="A8AAAE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F5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C1D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C1D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C1D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C1D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EB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EB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EA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DA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DA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DA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DA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3D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3D5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F4C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BC2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BC2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BC2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BC2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BE98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BE984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0C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2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62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62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62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29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294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B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B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B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B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4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565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4565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4565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4565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8AAAE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8AAAE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C1D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F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FA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FA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FA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FA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DA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E5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D7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D7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7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7B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BC2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D1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C1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C1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C1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C18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62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36C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DA2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DA2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A2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A2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B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4565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2A2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E404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E404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404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4043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DA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DA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DA5" w:themeColor="accent2"/>
        <w:left w:val="single" w:sz="4" w:space="0" w:color="00C1DE" w:themeColor="accent1"/>
        <w:bottom w:val="single" w:sz="4" w:space="0" w:color="00C1DE" w:themeColor="accent1"/>
        <w:right w:val="single" w:sz="4" w:space="0" w:color="00C1D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B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DA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38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385" w:themeColor="accent1" w:themeShade="99"/>
          <w:insideV w:val="nil"/>
        </w:tcBorders>
        <w:shd w:val="clear" w:color="auto" w:fill="00738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385" w:themeFill="accent1" w:themeFillShade="99"/>
      </w:tcPr>
    </w:tblStylePr>
    <w:tblStylePr w:type="band1Vert">
      <w:tblPr/>
      <w:tcPr>
        <w:shd w:val="clear" w:color="auto" w:fill="8BEFFF" w:themeFill="accent1" w:themeFillTint="66"/>
      </w:tcPr>
    </w:tblStylePr>
    <w:tblStylePr w:type="band1Horz">
      <w:tblPr/>
      <w:tcPr>
        <w:shd w:val="clear" w:color="auto" w:fill="6FEB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DA5" w:themeColor="accent2"/>
        <w:left w:val="single" w:sz="4" w:space="0" w:color="007DA5" w:themeColor="accent2"/>
        <w:bottom w:val="single" w:sz="4" w:space="0" w:color="007DA5" w:themeColor="accent2"/>
        <w:right w:val="single" w:sz="4" w:space="0" w:color="007DA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DA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A6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A63" w:themeColor="accent2" w:themeShade="99"/>
          <w:insideV w:val="nil"/>
        </w:tcBorders>
        <w:shd w:val="clear" w:color="auto" w:fill="004A6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63" w:themeFill="accent2" w:themeFillShade="99"/>
      </w:tcPr>
    </w:tblStylePr>
    <w:tblStylePr w:type="band1Vert">
      <w:tblPr/>
      <w:tcPr>
        <w:shd w:val="clear" w:color="auto" w:fill="75DDFF" w:themeFill="accent2" w:themeFillTint="66"/>
      </w:tcPr>
    </w:tblStylePr>
    <w:tblStylePr w:type="band1Horz">
      <w:tblPr/>
      <w:tcPr>
        <w:shd w:val="clear" w:color="auto" w:fill="53D5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629" w:themeColor="accent4"/>
        <w:left w:val="single" w:sz="4" w:space="0" w:color="76BC21" w:themeColor="accent3"/>
        <w:bottom w:val="single" w:sz="4" w:space="0" w:color="76BC21" w:themeColor="accent3"/>
        <w:right w:val="single" w:sz="4" w:space="0" w:color="76BC2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A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62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701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7013" w:themeColor="accent3" w:themeShade="99"/>
          <w:insideV w:val="nil"/>
        </w:tcBorders>
        <w:shd w:val="clear" w:color="auto" w:fill="46701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013" w:themeFill="accent3" w:themeFillShade="99"/>
      </w:tcPr>
    </w:tblStylePr>
    <w:tblStylePr w:type="band1Vert">
      <w:tblPr/>
      <w:tcPr>
        <w:shd w:val="clear" w:color="auto" w:fill="C8ED9C" w:themeFill="accent3" w:themeFillTint="66"/>
      </w:tcPr>
    </w:tblStylePr>
    <w:tblStylePr w:type="band1Horz">
      <w:tblPr/>
      <w:tcPr>
        <w:shd w:val="clear" w:color="auto" w:fill="BBE98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6BC21" w:themeColor="accent3"/>
        <w:left w:val="single" w:sz="4" w:space="0" w:color="FFC629" w:themeColor="accent4"/>
        <w:bottom w:val="single" w:sz="4" w:space="0" w:color="FFC629" w:themeColor="accent4"/>
        <w:right w:val="single" w:sz="4" w:space="0" w:color="FFC62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BC2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82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8200" w:themeColor="accent4" w:themeShade="99"/>
          <w:insideV w:val="nil"/>
        </w:tcBorders>
        <w:shd w:val="clear" w:color="auto" w:fill="B182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8200" w:themeFill="accent4" w:themeFillShade="99"/>
      </w:tcPr>
    </w:tblStylePr>
    <w:tblStylePr w:type="band1Vert">
      <w:tblPr/>
      <w:tcPr>
        <w:shd w:val="clear" w:color="auto" w:fill="FFE8A9" w:themeFill="accent4" w:themeFillTint="66"/>
      </w:tcPr>
    </w:tblStylePr>
    <w:tblStylePr w:type="band1Horz">
      <w:tblPr/>
      <w:tcPr>
        <w:shd w:val="clear" w:color="auto" w:fill="FFE29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4565A" w:themeColor="accent6"/>
        <w:left w:val="single" w:sz="4" w:space="0" w:color="FF6B00" w:themeColor="accent5"/>
        <w:bottom w:val="single" w:sz="4" w:space="0" w:color="FF6B00" w:themeColor="accent5"/>
        <w:right w:val="single" w:sz="4" w:space="0" w:color="FF6B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4565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3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B00" w:themeColor="accent5"/>
        <w:left w:val="single" w:sz="4" w:space="0" w:color="54565A" w:themeColor="accent6"/>
        <w:bottom w:val="single" w:sz="4" w:space="0" w:color="54565A" w:themeColor="accent6"/>
        <w:right w:val="single" w:sz="4" w:space="0" w:color="54565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B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333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3335" w:themeColor="accent6" w:themeShade="99"/>
          <w:insideV w:val="nil"/>
        </w:tcBorders>
        <w:shd w:val="clear" w:color="auto" w:fill="32333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335" w:themeFill="accent6" w:themeFillShade="99"/>
      </w:tcPr>
    </w:tblStylePr>
    <w:tblStylePr w:type="band1Vert">
      <w:tblPr/>
      <w:tcPr>
        <w:shd w:val="clear" w:color="auto" w:fill="B9BABE" w:themeFill="accent6" w:themeFillTint="66"/>
      </w:tcPr>
    </w:tblStylePr>
    <w:tblStylePr w:type="band1Horz">
      <w:tblPr/>
      <w:tcPr>
        <w:shd w:val="clear" w:color="auto" w:fill="A8AAAE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384" w:themeFill="accent2" w:themeFillShade="CC"/>
      </w:tcPr>
    </w:tblStylePr>
    <w:tblStylePr w:type="lastRow">
      <w:rPr>
        <w:b/>
        <w:bCs/>
        <w:color w:val="0063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2FB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384" w:themeFill="accent2" w:themeFillShade="CC"/>
      </w:tcPr>
    </w:tblStylePr>
    <w:tblStylePr w:type="lastRow">
      <w:rPr>
        <w:b/>
        <w:bCs/>
        <w:color w:val="0063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5FF" w:themeFill="accent1" w:themeFillTint="3F"/>
      </w:tcPr>
    </w:tblStylePr>
    <w:tblStylePr w:type="band1Horz">
      <w:tblPr/>
      <w:tcPr>
        <w:shd w:val="clear" w:color="auto" w:fill="C5F7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384" w:themeFill="accent2" w:themeFillShade="CC"/>
      </w:tcPr>
    </w:tblStylePr>
    <w:tblStylePr w:type="lastRow">
      <w:rPr>
        <w:b/>
        <w:bCs/>
        <w:color w:val="00638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EAFF" w:themeFill="accent2" w:themeFillTint="3F"/>
      </w:tcPr>
    </w:tblStylePr>
    <w:tblStylePr w:type="band1Horz">
      <w:tblPr/>
      <w:tcPr>
        <w:shd w:val="clear" w:color="auto" w:fill="BAEE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A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CAD00" w:themeFill="accent4" w:themeFillShade="CC"/>
      </w:tcPr>
    </w:tblStylePr>
    <w:tblStylePr w:type="lastRow">
      <w:rPr>
        <w:b/>
        <w:bCs/>
        <w:color w:val="ECAD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4C2" w:themeFill="accent3" w:themeFillTint="3F"/>
      </w:tcPr>
    </w:tblStylePr>
    <w:tblStylePr w:type="band1Horz">
      <w:tblPr/>
      <w:tcPr>
        <w:shd w:val="clear" w:color="auto" w:fill="E3F6C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9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61A" w:themeFill="accent3" w:themeFillShade="CC"/>
      </w:tcPr>
    </w:tblStylePr>
    <w:tblStylePr w:type="lastRow">
      <w:rPr>
        <w:b/>
        <w:bCs/>
        <w:color w:val="5D961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0CA" w:themeFill="accent4" w:themeFillTint="3F"/>
      </w:tcPr>
    </w:tblStylePr>
    <w:tblStylePr w:type="band1Horz">
      <w:tblPr/>
      <w:tcPr>
        <w:shd w:val="clear" w:color="auto" w:fill="FFF3D4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4447" w:themeFill="accent6" w:themeFillShade="CC"/>
      </w:tcPr>
    </w:tblStylePr>
    <w:tblStylePr w:type="lastRow">
      <w:rPr>
        <w:b/>
        <w:bCs/>
        <w:color w:val="43444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E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500" w:themeFill="accent5" w:themeFillShade="CC"/>
      </w:tcPr>
    </w:tblStylePr>
    <w:tblStylePr w:type="lastRow">
      <w:rPr>
        <w:b/>
        <w:bCs/>
        <w:color w:val="CC55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4D6" w:themeFill="accent6" w:themeFillTint="3F"/>
      </w:tcPr>
    </w:tblStylePr>
    <w:tblStylePr w:type="band1Horz">
      <w:tblPr/>
      <w:tcPr>
        <w:shd w:val="clear" w:color="auto" w:fill="DCDCDE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7FF" w:themeFill="accent1" w:themeFillTint="33"/>
    </w:tcPr>
    <w:tblStylePr w:type="firstRow">
      <w:rPr>
        <w:b/>
        <w:bCs/>
      </w:rPr>
      <w:tblPr/>
      <w:tcPr>
        <w:shd w:val="clear" w:color="auto" w:fill="8BEF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BEF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FA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FA6" w:themeFill="accent1" w:themeFillShade="BF"/>
      </w:tcPr>
    </w:tblStylePr>
    <w:tblStylePr w:type="band1Vert">
      <w:tblPr/>
      <w:tcPr>
        <w:shd w:val="clear" w:color="auto" w:fill="6FEBFF" w:themeFill="accent1" w:themeFillTint="7F"/>
      </w:tcPr>
    </w:tblStylePr>
    <w:tblStylePr w:type="band1Horz">
      <w:tblPr/>
      <w:tcPr>
        <w:shd w:val="clear" w:color="auto" w:fill="6FEB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EEFF" w:themeFill="accent2" w:themeFillTint="33"/>
    </w:tcPr>
    <w:tblStylePr w:type="firstRow">
      <w:rPr>
        <w:b/>
        <w:bCs/>
      </w:rPr>
      <w:tblPr/>
      <w:tcPr>
        <w:shd w:val="clear" w:color="auto" w:fill="75D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5D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D7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D7B" w:themeFill="accent2" w:themeFillShade="BF"/>
      </w:tcPr>
    </w:tblStylePr>
    <w:tblStylePr w:type="band1Vert">
      <w:tblPr/>
      <w:tcPr>
        <w:shd w:val="clear" w:color="auto" w:fill="53D5FF" w:themeFill="accent2" w:themeFillTint="7F"/>
      </w:tcPr>
    </w:tblStylePr>
    <w:tblStylePr w:type="band1Horz">
      <w:tblPr/>
      <w:tcPr>
        <w:shd w:val="clear" w:color="auto" w:fill="53D5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6CD" w:themeFill="accent3" w:themeFillTint="33"/>
    </w:tcPr>
    <w:tblStylePr w:type="firstRow">
      <w:rPr>
        <w:b/>
        <w:bCs/>
      </w:rPr>
      <w:tblPr/>
      <w:tcPr>
        <w:shd w:val="clear" w:color="auto" w:fill="C8ED9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ED9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78C1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78C18" w:themeFill="accent3" w:themeFillShade="BF"/>
      </w:tcPr>
    </w:tblStylePr>
    <w:tblStylePr w:type="band1Vert">
      <w:tblPr/>
      <w:tcPr>
        <w:shd w:val="clear" w:color="auto" w:fill="BBE984" w:themeFill="accent3" w:themeFillTint="7F"/>
      </w:tcPr>
    </w:tblStylePr>
    <w:tblStylePr w:type="band1Horz">
      <w:tblPr/>
      <w:tcPr>
        <w:shd w:val="clear" w:color="auto" w:fill="BBE984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3D4" w:themeFill="accent4" w:themeFillTint="33"/>
    </w:tcPr>
    <w:tblStylePr w:type="firstRow">
      <w:rPr>
        <w:b/>
        <w:bCs/>
      </w:rPr>
      <w:tblPr/>
      <w:tcPr>
        <w:shd w:val="clear" w:color="auto" w:fill="FFE8A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8A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DA2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DA200" w:themeFill="accent4" w:themeFillShade="BF"/>
      </w:tcPr>
    </w:tblStylePr>
    <w:tblStylePr w:type="band1Vert">
      <w:tblPr/>
      <w:tcPr>
        <w:shd w:val="clear" w:color="auto" w:fill="FFE294" w:themeFill="accent4" w:themeFillTint="7F"/>
      </w:tcPr>
    </w:tblStylePr>
    <w:tblStylePr w:type="band1Horz">
      <w:tblPr/>
      <w:tcPr>
        <w:shd w:val="clear" w:color="auto" w:fill="FFE294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3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3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DCDE" w:themeFill="accent6" w:themeFillTint="33"/>
    </w:tcPr>
    <w:tblStylePr w:type="firstRow">
      <w:rPr>
        <w:b/>
        <w:bCs/>
      </w:rPr>
      <w:tblPr/>
      <w:tcPr>
        <w:shd w:val="clear" w:color="auto" w:fill="B9BABE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9BAB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E404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E4043" w:themeFill="accent6" w:themeFillShade="BF"/>
      </w:tcPr>
    </w:tblStylePr>
    <w:tblStylePr w:type="band1Vert">
      <w:tblPr/>
      <w:tcPr>
        <w:shd w:val="clear" w:color="auto" w:fill="A8AAAE" w:themeFill="accent6" w:themeFillTint="7F"/>
      </w:tcPr>
    </w:tblStylePr>
    <w:tblStylePr w:type="band1Horz">
      <w:tblPr/>
      <w:tcPr>
        <w:shd w:val="clear" w:color="auto" w:fill="A8AAAE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66429C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Tuvid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C1DE"/>
      </a:accent1>
      <a:accent2>
        <a:srgbClr val="007DA5"/>
      </a:accent2>
      <a:accent3>
        <a:srgbClr val="76BC21"/>
      </a:accent3>
      <a:accent4>
        <a:srgbClr val="FFC629"/>
      </a:accent4>
      <a:accent5>
        <a:srgbClr val="FF6B00"/>
      </a:accent5>
      <a:accent6>
        <a:srgbClr val="54565A"/>
      </a:accent6>
      <a:hlink>
        <a:srgbClr val="54565A"/>
      </a:hlink>
      <a:folHlink>
        <a:srgbClr val="54565A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C5D4C76C691F4A92807A8F8CFC3D52" ma:contentTypeVersion="15" ma:contentTypeDescription="Create a new document." ma:contentTypeScope="" ma:versionID="bd652e8fe51f5d42e559dea490d66065">
  <xsd:schema xmlns:xsd="http://www.w3.org/2001/XMLSchema" xmlns:xs="http://www.w3.org/2001/XMLSchema" xmlns:p="http://schemas.microsoft.com/office/2006/metadata/properties" xmlns:ns2="e1acfad2-402e-40b3-93d5-259d29ddf6fc" xmlns:ns3="68ae185b-837d-4bb7-8026-b759a6f5fd91" targetNamespace="http://schemas.microsoft.com/office/2006/metadata/properties" ma:root="true" ma:fieldsID="1bb90c8be12b2a9384ec60abb6fc6d10" ns2:_="" ns3:_="">
    <xsd:import namespace="e1acfad2-402e-40b3-93d5-259d29ddf6fc"/>
    <xsd:import namespace="68ae185b-837d-4bb7-8026-b759a6f5f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cfad2-402e-40b3-93d5-259d29ddf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5bde533-67fe-466c-93a0-e6cdc774aa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e185b-837d-4bb7-8026-b759a6f5fd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372636d-555b-4fd1-bed4-f9cb6e13c6d3}" ma:internalName="TaxCatchAll" ma:showField="CatchAllData" ma:web="68ae185b-837d-4bb7-8026-b759a6f5f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ae185b-837d-4bb7-8026-b759a6f5fd91" xsi:nil="true"/>
    <lcf76f155ced4ddcb4097134ff3c332f xmlns="e1acfad2-402e-40b3-93d5-259d29ddf6f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815D6A-861E-4A1F-B520-CD7828CDF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acfad2-402e-40b3-93d5-259d29ddf6fc"/>
    <ds:schemaRef ds:uri="68ae185b-837d-4bb7-8026-b759a6f5f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8FF8CE-EEDE-4407-97B3-407DD3925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CCE8C0-9C53-4E6F-9542-7BB7312FB05A}">
  <ds:schemaRefs>
    <ds:schemaRef ds:uri="http://schemas.microsoft.com/office/2006/metadata/properties"/>
    <ds:schemaRef ds:uri="http://schemas.microsoft.com/office/infopath/2007/PartnerControls"/>
    <ds:schemaRef ds:uri="68ae185b-837d-4bb7-8026-b759a6f5fd91"/>
    <ds:schemaRef ds:uri="e1acfad2-402e-40b3-93d5-259d29ddf6fc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Breaks Grant Application Guidance 2026</vt:lpstr>
    </vt:vector>
  </TitlesOfParts>
  <Manager/>
  <Company/>
  <LinksUpToDate>false</LinksUpToDate>
  <CharactersWithSpaces>7239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Breaks Grant Application Guidance 2026</dc:title>
  <dc:subject>Applicant guidance for Third Sector organisations</dc:subject>
  <dc:creator>TuVida</dc:creator>
  <cp:keywords/>
  <dc:description>generated by python-docx</dc:description>
  <cp:lastModifiedBy>Lisa Howells</cp:lastModifiedBy>
  <cp:revision>24</cp:revision>
  <dcterms:created xsi:type="dcterms:W3CDTF">2026-08-20T14:22:00Z</dcterms:created>
  <dcterms:modified xsi:type="dcterms:W3CDTF">2026-10-20T13:51:00Z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0x010100CDC5D4C76C691F4A92807A8F8CFC3D52</vt:lpwstr>
  </property>
  <property fmtid="{D5CDD505-2E9C-101B-9397-08002B2CF9AE}" pid="3" name="MediaServiceImageTags">
    <vt:lpwstr/>
  </property>
</Properties>
</file>